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3DE" w:rsidRPr="00A573DE" w:rsidRDefault="00A573DE" w:rsidP="00A573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3DE">
        <w:rPr>
          <w:rFonts w:ascii="Times New Roman" w:hAnsi="Times New Roman" w:cs="Times New Roman"/>
          <w:b/>
          <w:sz w:val="24"/>
          <w:szCs w:val="24"/>
        </w:rPr>
        <w:t>Procedencia Geográfica de evaluadores 2015 – 2017 (más o menos [promedio])</w:t>
      </w:r>
    </w:p>
    <w:p w:rsidR="00A573DE" w:rsidRDefault="00A573DE"/>
    <w:p w:rsidR="00B24EF2" w:rsidRDefault="00BD408B" w:rsidP="00A573DE">
      <w:pPr>
        <w:jc w:val="center"/>
      </w:pPr>
      <w:r>
        <w:rPr>
          <w:noProof/>
          <w:lang w:eastAsia="es-CO"/>
        </w:rPr>
        <w:drawing>
          <wp:inline distT="0" distB="0" distL="0" distR="0">
            <wp:extent cx="5486400" cy="3800475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73DE" w:rsidRDefault="00A573DE" w:rsidP="00A573DE">
      <w:pPr>
        <w:jc w:val="center"/>
      </w:pPr>
    </w:p>
    <w:p w:rsidR="00A573DE" w:rsidRPr="007B6E22" w:rsidRDefault="007B6E22" w:rsidP="00A573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E22">
        <w:rPr>
          <w:rFonts w:ascii="Times New Roman" w:hAnsi="Times New Roman" w:cs="Times New Roman"/>
          <w:b/>
          <w:sz w:val="24"/>
          <w:szCs w:val="24"/>
        </w:rPr>
        <w:t>Trabajos recibidos</w:t>
      </w:r>
      <w:r>
        <w:rPr>
          <w:rStyle w:val="Refdenotaalpie"/>
          <w:rFonts w:ascii="Times New Roman" w:hAnsi="Times New Roman" w:cs="Times New Roman"/>
          <w:b/>
          <w:sz w:val="24"/>
          <w:szCs w:val="24"/>
        </w:rPr>
        <w:footnoteReference w:id="1"/>
      </w:r>
    </w:p>
    <w:p w:rsidR="007B6E22" w:rsidRDefault="007B6E22" w:rsidP="00A573DE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7B6E22" w:rsidRPr="007B6E22" w:rsidTr="007B6E22"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b/>
                <w:sz w:val="24"/>
                <w:szCs w:val="24"/>
              </w:rPr>
              <w:t>2015 34(2)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b/>
                <w:sz w:val="24"/>
                <w:szCs w:val="24"/>
              </w:rPr>
              <w:t>2016 35(1)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b/>
                <w:sz w:val="24"/>
                <w:szCs w:val="24"/>
              </w:rPr>
              <w:t>2016 35(2)</w:t>
            </w:r>
          </w:p>
        </w:tc>
      </w:tr>
      <w:tr w:rsidR="007B6E22" w:rsidRPr="007B6E22" w:rsidTr="007B6E22"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b/>
                <w:sz w:val="24"/>
                <w:szCs w:val="24"/>
              </w:rPr>
              <w:t>Aprobados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6E22" w:rsidRPr="007B6E22" w:rsidTr="007B6E22"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Descartados 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E22" w:rsidRPr="007B6E22" w:rsidTr="007B6E22"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b/>
                <w:sz w:val="24"/>
                <w:szCs w:val="24"/>
              </w:rPr>
              <w:t>No aprobados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</w:tcPr>
          <w:p w:rsidR="007B6E22" w:rsidRPr="007B6E22" w:rsidRDefault="007B6E22" w:rsidP="007B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B6E22" w:rsidRDefault="007B6E22" w:rsidP="007B6E22">
      <w:pPr>
        <w:jc w:val="center"/>
      </w:pPr>
    </w:p>
    <w:p w:rsidR="005A2289" w:rsidRDefault="005A2289" w:rsidP="007B6E22">
      <w:pPr>
        <w:jc w:val="center"/>
      </w:pPr>
    </w:p>
    <w:p w:rsidR="008631BF" w:rsidRDefault="008631BF" w:rsidP="007B6E22">
      <w:pPr>
        <w:jc w:val="center"/>
      </w:pPr>
    </w:p>
    <w:p w:rsidR="008631BF" w:rsidRDefault="008631BF" w:rsidP="007B6E22">
      <w:pPr>
        <w:jc w:val="center"/>
      </w:pPr>
    </w:p>
    <w:p w:rsidR="008631BF" w:rsidRDefault="008631BF" w:rsidP="007B6E22">
      <w:pPr>
        <w:jc w:val="center"/>
      </w:pPr>
    </w:p>
    <w:p w:rsidR="008631BF" w:rsidRPr="008631BF" w:rsidRDefault="008631BF" w:rsidP="007B6E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1BF" w:rsidRPr="008631BF" w:rsidRDefault="008631BF" w:rsidP="007B6E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BF">
        <w:rPr>
          <w:rFonts w:ascii="Times New Roman" w:hAnsi="Times New Roman" w:cs="Times New Roman"/>
          <w:b/>
          <w:sz w:val="24"/>
          <w:szCs w:val="24"/>
        </w:rPr>
        <w:lastRenderedPageBreak/>
        <w:t>Procedencia geográfica de autores</w:t>
      </w:r>
      <w:r>
        <w:rPr>
          <w:rFonts w:ascii="Times New Roman" w:hAnsi="Times New Roman" w:cs="Times New Roman"/>
          <w:b/>
          <w:sz w:val="24"/>
          <w:szCs w:val="24"/>
        </w:rPr>
        <w:t xml:space="preserve"> 2015 – 2017 </w:t>
      </w:r>
      <w:r w:rsidRPr="00A573DE">
        <w:rPr>
          <w:rFonts w:ascii="Times New Roman" w:hAnsi="Times New Roman" w:cs="Times New Roman"/>
          <w:b/>
          <w:sz w:val="24"/>
          <w:szCs w:val="24"/>
        </w:rPr>
        <w:t>(más o menos [promedio])</w:t>
      </w:r>
    </w:p>
    <w:p w:rsidR="008631BF" w:rsidRDefault="008631BF" w:rsidP="007B6E22">
      <w:pPr>
        <w:jc w:val="center"/>
      </w:pPr>
    </w:p>
    <w:p w:rsidR="005A2289" w:rsidRDefault="005A2289" w:rsidP="007B6E22">
      <w:pPr>
        <w:jc w:val="center"/>
      </w:pPr>
      <w:r>
        <w:rPr>
          <w:noProof/>
          <w:lang w:eastAsia="es-CO"/>
        </w:rPr>
        <w:drawing>
          <wp:inline distT="0" distB="0" distL="0" distR="0">
            <wp:extent cx="5486400" cy="451485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631BF" w:rsidRDefault="008631BF" w:rsidP="007B6E22">
      <w:pPr>
        <w:jc w:val="center"/>
      </w:pPr>
    </w:p>
    <w:p w:rsidR="00BA223A" w:rsidRDefault="00BA223A" w:rsidP="007B6E22">
      <w:pPr>
        <w:jc w:val="center"/>
      </w:pPr>
    </w:p>
    <w:p w:rsidR="00BA223A" w:rsidRDefault="00BA223A" w:rsidP="007B6E22">
      <w:pPr>
        <w:jc w:val="center"/>
      </w:pPr>
    </w:p>
    <w:p w:rsidR="00BA223A" w:rsidRDefault="00BA223A" w:rsidP="007B6E22">
      <w:pPr>
        <w:jc w:val="center"/>
      </w:pPr>
    </w:p>
    <w:p w:rsidR="00BA223A" w:rsidRDefault="00BA223A" w:rsidP="007B6E22">
      <w:pPr>
        <w:jc w:val="center"/>
      </w:pPr>
      <w:bookmarkStart w:id="0" w:name="_GoBack"/>
      <w:bookmarkEnd w:id="0"/>
    </w:p>
    <w:p w:rsidR="008631BF" w:rsidRDefault="008631BF" w:rsidP="007B6E22">
      <w:pPr>
        <w:jc w:val="center"/>
      </w:pPr>
    </w:p>
    <w:p w:rsidR="008631BF" w:rsidRDefault="008631BF" w:rsidP="007B6E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BF">
        <w:rPr>
          <w:rFonts w:ascii="Times New Roman" w:hAnsi="Times New Roman" w:cs="Times New Roman"/>
          <w:b/>
        </w:rPr>
        <w:t xml:space="preserve">Filiación institucional autores 2015 – 2016 </w:t>
      </w:r>
      <w:r w:rsidRPr="008631BF">
        <w:rPr>
          <w:rFonts w:ascii="Times New Roman" w:hAnsi="Times New Roman" w:cs="Times New Roman"/>
          <w:b/>
          <w:sz w:val="24"/>
          <w:szCs w:val="24"/>
        </w:rPr>
        <w:t>(más o menos [promedio])</w:t>
      </w:r>
    </w:p>
    <w:p w:rsidR="008631BF" w:rsidRDefault="008631BF" w:rsidP="007B6E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1BF" w:rsidRPr="008631BF" w:rsidRDefault="008631BF" w:rsidP="007B6E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s-CO"/>
        </w:rPr>
        <w:lastRenderedPageBreak/>
        <w:drawing>
          <wp:inline distT="0" distB="0" distL="0" distR="0">
            <wp:extent cx="6229350" cy="50292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631BF" w:rsidRDefault="008631BF" w:rsidP="007B6E22">
      <w:pPr>
        <w:jc w:val="center"/>
      </w:pPr>
    </w:p>
    <w:sectPr w:rsidR="008631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263" w:rsidRDefault="00A13263" w:rsidP="00E70233">
      <w:pPr>
        <w:spacing w:after="0" w:line="240" w:lineRule="auto"/>
      </w:pPr>
      <w:r>
        <w:separator/>
      </w:r>
    </w:p>
  </w:endnote>
  <w:endnote w:type="continuationSeparator" w:id="0">
    <w:p w:rsidR="00A13263" w:rsidRDefault="00A13263" w:rsidP="00E7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263" w:rsidRDefault="00A13263" w:rsidP="00E70233">
      <w:pPr>
        <w:spacing w:after="0" w:line="240" w:lineRule="auto"/>
      </w:pPr>
      <w:r>
        <w:separator/>
      </w:r>
    </w:p>
  </w:footnote>
  <w:footnote w:type="continuationSeparator" w:id="0">
    <w:p w:rsidR="00A13263" w:rsidRDefault="00A13263" w:rsidP="00E70233">
      <w:pPr>
        <w:spacing w:after="0" w:line="240" w:lineRule="auto"/>
      </w:pPr>
      <w:r>
        <w:continuationSeparator/>
      </w:r>
    </w:p>
  </w:footnote>
  <w:footnote w:id="1">
    <w:p w:rsidR="007B6E22" w:rsidRDefault="007B6E22">
      <w:pPr>
        <w:pStyle w:val="Textonotapie"/>
      </w:pPr>
      <w:r>
        <w:rPr>
          <w:rStyle w:val="Refdenotaalpie"/>
        </w:rPr>
        <w:footnoteRef/>
      </w:r>
      <w:r>
        <w:t xml:space="preserve"> Se reciben manuscritos de forma permanente por lo que no es posible calcular cuántos llegan por número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8B"/>
    <w:rsid w:val="001115D2"/>
    <w:rsid w:val="00417ABD"/>
    <w:rsid w:val="005A2289"/>
    <w:rsid w:val="006B031F"/>
    <w:rsid w:val="007449DD"/>
    <w:rsid w:val="007B6E22"/>
    <w:rsid w:val="008631BF"/>
    <w:rsid w:val="00A13263"/>
    <w:rsid w:val="00A573DE"/>
    <w:rsid w:val="00BA223A"/>
    <w:rsid w:val="00BD408B"/>
    <w:rsid w:val="00D70F94"/>
    <w:rsid w:val="00E70233"/>
    <w:rsid w:val="00F9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4BBCF68-1B43-4C41-A5BB-F22C643B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02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233"/>
  </w:style>
  <w:style w:type="paragraph" w:styleId="Piedepgina">
    <w:name w:val="footer"/>
    <w:basedOn w:val="Normal"/>
    <w:link w:val="PiedepginaCar"/>
    <w:uiPriority w:val="99"/>
    <w:unhideWhenUsed/>
    <w:rsid w:val="00E702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233"/>
  </w:style>
  <w:style w:type="table" w:styleId="Tablaconcuadrcula">
    <w:name w:val="Table Grid"/>
    <w:basedOn w:val="Tablanormal"/>
    <w:uiPriority w:val="39"/>
    <w:rsid w:val="007B6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B6E2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B6E2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B6E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 sz="1200">
                <a:effectLst>
                  <a:glow rad="228600">
                    <a:schemeClr val="accent5">
                      <a:satMod val="175000"/>
                      <a:alpha val="40000"/>
                    </a:schemeClr>
                  </a:glow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</a:rPr>
              <a:t>Procedencia geográfica evaluadores</a:t>
            </a:r>
            <a:r>
              <a:rPr lang="en-US" sz="1200" baseline="0">
                <a:effectLst>
                  <a:glow rad="228600">
                    <a:schemeClr val="accent5">
                      <a:satMod val="175000"/>
                      <a:alpha val="40000"/>
                    </a:schemeClr>
                  </a:glow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</a:rPr>
              <a:t> </a:t>
            </a:r>
            <a:endParaRPr lang="en-US" sz="1200">
              <a:effectLst>
                <a:glow rad="228600">
                  <a:schemeClr val="accent5">
                    <a:satMod val="175000"/>
                    <a:alpha val="40000"/>
                  </a:schemeClr>
                </a:glow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endParaRPr>
          </a:p>
        </c:rich>
      </c:tx>
      <c:layout>
        <c:manualLayout>
          <c:xMode val="edge"/>
          <c:yMode val="edge"/>
          <c:x val="0.46896999854184895"/>
          <c:y val="0.748538011695906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39700" h="139700" prst="divot"/>
            </a:sp3d>
          </c:spPr>
          <c:dPt>
            <c:idx val="0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1"/>
            <c:bubble3D val="0"/>
            <c:spPr>
              <a:solidFill>
                <a:srgbClr val="66330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2"/>
            <c:bubble3D val="0"/>
            <c:spPr>
              <a:solidFill>
                <a:srgbClr val="C0BC14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3"/>
            <c:bubble3D val="0"/>
            <c:spPr>
              <a:solidFill>
                <a:srgbClr val="00B0F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4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5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6"/>
            <c:bubble3D val="0"/>
            <c:spPr>
              <a:solidFill>
                <a:srgbClr val="92D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8"/>
            <c:bubble3D val="0"/>
            <c:spPr>
              <a:solidFill>
                <a:schemeClr val="bg1">
                  <a:lumMod val="85000"/>
                </a:schemeClr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9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10"/>
            <c:bubble3D val="0"/>
            <c:spPr>
              <a:gradFill rotWithShape="1">
                <a:gsLst>
                  <a:gs pos="0">
                    <a:schemeClr val="accent5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11"/>
            <c:bubble3D val="0"/>
            <c:spPr>
              <a:solidFill>
                <a:srgbClr val="B962FA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Lbls>
            <c:dLbl>
              <c:idx val="0"/>
              <c:layout>
                <c:manualLayout>
                  <c:x val="-2.0833333333333419E-2"/>
                  <c:y val="-5.012531328320801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9537037037036952E-2"/>
                  <c:y val="-4.761904761904761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4583333333333334"/>
                  <c:y val="-1.587301587301588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3888888888888888E-2"/>
                  <c:y val="1.190476190476190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0185185185185185"/>
                  <c:y val="1.587301587301587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8.1018518518518531E-2"/>
                  <c:y val="-1.67084377610693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9.0277777777777776E-2"/>
                  <c:y val="-0.1203007518796992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6.4814814814814811E-2"/>
                  <c:y val="-0.1372181108940329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0.12499999999999996"/>
                  <c:y val="-7.142870299107348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Hoja1!$A$2:$A$13</c:f>
              <c:strCache>
                <c:ptCount val="12"/>
                <c:pt idx="0">
                  <c:v>Argentina</c:v>
                </c:pt>
                <c:pt idx="1">
                  <c:v>Brasil</c:v>
                </c:pt>
                <c:pt idx="2">
                  <c:v>Chile</c:v>
                </c:pt>
                <c:pt idx="3">
                  <c:v>Colombia</c:v>
                </c:pt>
                <c:pt idx="4">
                  <c:v>Cuba</c:v>
                </c:pt>
                <c:pt idx="5">
                  <c:v>Ecuador</c:v>
                </c:pt>
                <c:pt idx="6">
                  <c:v>España</c:v>
                </c:pt>
                <c:pt idx="7">
                  <c:v>Estados Unidos</c:v>
                </c:pt>
                <c:pt idx="8">
                  <c:v>México</c:v>
                </c:pt>
                <c:pt idx="9">
                  <c:v>Perú</c:v>
                </c:pt>
                <c:pt idx="10">
                  <c:v>Portugal</c:v>
                </c:pt>
                <c:pt idx="11">
                  <c:v>Puerto Rico</c:v>
                </c:pt>
              </c:strCache>
            </c:strRef>
          </c:cat>
          <c:val>
            <c:numRef>
              <c:f>Hoja1!$B$2:$B$13</c:f>
              <c:numCache>
                <c:formatCode>General</c:formatCode>
                <c:ptCount val="12"/>
                <c:pt idx="0">
                  <c:v>6</c:v>
                </c:pt>
                <c:pt idx="1">
                  <c:v>2</c:v>
                </c:pt>
                <c:pt idx="2">
                  <c:v>7</c:v>
                </c:pt>
                <c:pt idx="3">
                  <c:v>41</c:v>
                </c:pt>
                <c:pt idx="4">
                  <c:v>1</c:v>
                </c:pt>
                <c:pt idx="5">
                  <c:v>1</c:v>
                </c:pt>
                <c:pt idx="6">
                  <c:v>18</c:v>
                </c:pt>
                <c:pt idx="7">
                  <c:v>2</c:v>
                </c:pt>
                <c:pt idx="8">
                  <c:v>8</c:v>
                </c:pt>
                <c:pt idx="9">
                  <c:v>1</c:v>
                </c:pt>
                <c:pt idx="10">
                  <c:v>1</c:v>
                </c:pt>
                <c:pt idx="11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tx1"/>
    </a:soli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 sz="1200">
                <a:effectLst>
                  <a:glow rad="228600">
                    <a:schemeClr val="accent5">
                      <a:satMod val="175000"/>
                      <a:alpha val="40000"/>
                    </a:schemeClr>
                  </a:glow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</a:rPr>
              <a:t>Procedencia geográfica de autores</a:t>
            </a:r>
          </a:p>
        </c:rich>
      </c:tx>
      <c:layout>
        <c:manualLayout>
          <c:xMode val="edge"/>
          <c:yMode val="edge"/>
          <c:x val="0.49962379702537185"/>
          <c:y val="0.8213783403656821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39700" h="139700" prst="divot"/>
            </a:sp3d>
          </c:spPr>
          <c:dPt>
            <c:idx val="0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5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Pt>
            <c:idx val="6"/>
            <c:bubble3D val="0"/>
            <c:spPr>
              <a:solidFill>
                <a:srgbClr val="00B0F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/>
                <a:lightRig rig="threePt" dir="t"/>
              </a:scene3d>
              <a:sp3d>
                <a:bevelT w="139700" h="139700" prst="divot"/>
              </a:sp3d>
            </c:spPr>
          </c:dPt>
          <c:dLbls>
            <c:dLbl>
              <c:idx val="0"/>
              <c:layout>
                <c:manualLayout>
                  <c:x val="0.18518518518518509"/>
                  <c:y val="-2.531645569620253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2592592592594287E-3"/>
                  <c:y val="-0.300984528832630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3888888888888888E-2"/>
                  <c:y val="7.032348804500702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3.4722222222222231E-2"/>
                  <c:y val="-0.1265822784810126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8.1017607174102817E-3"/>
                  <c:y val="-5.3445850914205353E-2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O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5501895596383783"/>
                      <c:h val="0.1021269809628227"/>
                    </c:manualLayout>
                  </c15:layout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Hoja1!$A$2:$A$8</c:f>
              <c:strCache>
                <c:ptCount val="7"/>
                <c:pt idx="0">
                  <c:v>Argentina</c:v>
                </c:pt>
                <c:pt idx="1">
                  <c:v>Colombia</c:v>
                </c:pt>
                <c:pt idx="2">
                  <c:v>Ecuador</c:v>
                </c:pt>
                <c:pt idx="3">
                  <c:v>España</c:v>
                </c:pt>
                <c:pt idx="4">
                  <c:v>Estados Unidos</c:v>
                </c:pt>
                <c:pt idx="5">
                  <c:v>Puerto Rico</c:v>
                </c:pt>
                <c:pt idx="6">
                  <c:v>Republica Dominicana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1</c:v>
                </c:pt>
                <c:pt idx="1">
                  <c:v>16</c:v>
                </c:pt>
                <c:pt idx="2">
                  <c:v>1</c:v>
                </c:pt>
                <c:pt idx="3">
                  <c:v>4</c:v>
                </c:pt>
                <c:pt idx="4">
                  <c:v>1</c:v>
                </c:pt>
                <c:pt idx="5">
                  <c:v>10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tx1"/>
    </a:soli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524584152255695E-2"/>
          <c:y val="0.13846655531694901"/>
          <c:w val="0.82895083169548867"/>
          <c:h val="0.48545116519525966"/>
        </c:manualLayout>
      </c:layout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explosion val="15"/>
          <c:dPt>
            <c:idx val="0"/>
            <c:bubble3D val="0"/>
            <c:spPr>
              <a:solidFill>
                <a:srgbClr val="00B0F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6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8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9"/>
            <c:bubble3D val="0"/>
            <c:spPr>
              <a:gradFill rotWithShape="1">
                <a:gsLst>
                  <a:gs pos="0">
                    <a:schemeClr val="accent4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0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1"/>
            <c:bubble3D val="0"/>
            <c:spPr>
              <a:gradFill rotWithShape="1">
                <a:gsLst>
                  <a:gs pos="0">
                    <a:schemeClr val="accent6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2"/>
            <c:bubble3D val="0"/>
            <c:spPr>
              <a:gradFill rotWithShape="1">
                <a:gsLst>
                  <a:gs pos="0">
                    <a:schemeClr val="accent1">
                      <a:lumMod val="80000"/>
                      <a:lumOff val="2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80000"/>
                      <a:lumOff val="2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80000"/>
                      <a:lumOff val="2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1.674515960230246E-2"/>
                  <c:y val="-4.545454545454546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353218210361061E-2"/>
                  <c:y val="-9.848484848484848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2328623757195034E-2"/>
                  <c:y val="-0.2171717171717171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3725798011512295E-2"/>
                  <c:y val="-0.1590909090909090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774719673802246E-3"/>
                  <c:y val="4.292929292929292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0387359836901122E-2"/>
                  <c:y val="0.2601010101010101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1355759429153925E-2"/>
                  <c:y val="0.3409090909090908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20387359836901114"/>
                  <c:y val="8.333333333333332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20591233435270132"/>
                  <c:y val="-1.010101010101010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0.12232415902140673"/>
                  <c:y val="7.5757575757574832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9.1743119266055051E-2"/>
                  <c:y val="-6.565656565656566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6.3200815494393478E-2"/>
                  <c:y val="-5.303030303030303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Hoja1!$A$2:$A$14</c:f>
              <c:strCache>
                <c:ptCount val="13"/>
                <c:pt idx="0">
                  <c:v>Albizu University</c:v>
                </c:pt>
                <c:pt idx="1">
                  <c:v>Cincel</c:v>
                </c:pt>
                <c:pt idx="2">
                  <c:v>CONICET</c:v>
                </c:pt>
                <c:pt idx="3">
                  <c:v>EPM</c:v>
                </c:pt>
                <c:pt idx="4">
                  <c:v>Instituto Tecnológico de Santo Domingo</c:v>
                </c:pt>
                <c:pt idx="5">
                  <c:v>Instituto Tecnológico Superior Cordillera </c:v>
                </c:pt>
                <c:pt idx="6">
                  <c:v>Pontificia Universidad Católica Puerto Rico</c:v>
                </c:pt>
                <c:pt idx="7">
                  <c:v>Universidad Autónoma de Pereira</c:v>
                </c:pt>
                <c:pt idx="8">
                  <c:v>Universidad de Antioquia</c:v>
                </c:pt>
                <c:pt idx="9">
                  <c:v>Universidad de los Andes</c:v>
                </c:pt>
                <c:pt idx="10">
                  <c:v>Universidad de Puerto Rico</c:v>
                </c:pt>
                <c:pt idx="11">
                  <c:v>Universidad Eafit</c:v>
                </c:pt>
                <c:pt idx="12">
                  <c:v>Universitat Jaume I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2</c:v>
                </c:pt>
                <c:pt idx="1">
                  <c:v>7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4</c:v>
                </c:pt>
                <c:pt idx="9">
                  <c:v>1</c:v>
                </c:pt>
                <c:pt idx="10">
                  <c:v>9</c:v>
                </c:pt>
                <c:pt idx="11">
                  <c:v>2</c:v>
                </c:pt>
                <c:pt idx="12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251262170210375E-2"/>
          <c:y val="0.69033882128370327"/>
          <c:w val="0.67362919084655704"/>
          <c:h val="0.294509663564781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83300-E452-4A0C-9FA5-0A5D9452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2017-10-09T16:22:00Z</dcterms:created>
  <dcterms:modified xsi:type="dcterms:W3CDTF">2017-10-10T19:48:00Z</dcterms:modified>
</cp:coreProperties>
</file>