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3E2D064" w:rsidR="00961795" w:rsidRDefault="00275750" w:rsidP="007904C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392526">
        <w:rPr>
          <w:rFonts w:ascii="Times New Roman" w:hAnsi="Times New Roman" w:cs="Times New Roman"/>
          <w:b/>
          <w:bCs/>
          <w:lang w:val="en-US"/>
        </w:rPr>
        <w:t xml:space="preserve">Supplementary </w:t>
      </w:r>
      <w:r w:rsidR="007904CD" w:rsidRPr="00392526">
        <w:rPr>
          <w:rFonts w:ascii="Times New Roman" w:hAnsi="Times New Roman" w:cs="Times New Roman"/>
          <w:b/>
          <w:bCs/>
          <w:lang w:val="en-US"/>
        </w:rPr>
        <w:t>M</w:t>
      </w:r>
      <w:r w:rsidRPr="00392526">
        <w:rPr>
          <w:rFonts w:ascii="Times New Roman" w:hAnsi="Times New Roman" w:cs="Times New Roman"/>
          <w:b/>
          <w:bCs/>
          <w:lang w:val="en-US"/>
        </w:rPr>
        <w:t>aterial</w:t>
      </w:r>
    </w:p>
    <w:p w14:paraId="327C81FB" w14:textId="77777777" w:rsidR="007904CD" w:rsidRPr="00392526" w:rsidRDefault="007904CD" w:rsidP="00392526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D61EBEE" w14:textId="04F1EC43" w:rsidR="007904CD" w:rsidRDefault="007904CD" w:rsidP="007904CD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392526">
        <w:rPr>
          <w:rFonts w:ascii="Times New Roman" w:hAnsi="Times New Roman" w:cs="Times New Roman"/>
          <w:b/>
          <w:bCs/>
          <w:lang w:val="en-US"/>
        </w:rPr>
        <w:t>A simple and extensible framework to identify key areas for the conservation of single vulnerable freshwater species</w:t>
      </w:r>
    </w:p>
    <w:p w14:paraId="500188E0" w14:textId="6FB42060" w:rsidR="00340EF5" w:rsidRDefault="00340EF5" w:rsidP="007904CD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6C4AFF54" w14:textId="2307BDBB" w:rsidR="00340EF5" w:rsidRPr="00392526" w:rsidRDefault="00340EF5" w:rsidP="007904CD">
      <w:pPr>
        <w:jc w:val="center"/>
        <w:rPr>
          <w:rFonts w:ascii="Times New Roman" w:hAnsi="Times New Roman" w:cs="Times New Roman"/>
          <w:lang w:val="es-CO"/>
        </w:rPr>
      </w:pPr>
      <w:r w:rsidRPr="00392526">
        <w:rPr>
          <w:rFonts w:ascii="Times New Roman" w:hAnsi="Times New Roman" w:cs="Times New Roman"/>
          <w:lang w:val="es-CO"/>
        </w:rPr>
        <w:t>D. Valencia-Rodriguez et al.</w:t>
      </w:r>
    </w:p>
    <w:p w14:paraId="6B7238D7" w14:textId="1BCA019F" w:rsidR="007904CD" w:rsidRPr="00392526" w:rsidRDefault="007904CD" w:rsidP="007904CD">
      <w:pPr>
        <w:jc w:val="center"/>
        <w:rPr>
          <w:rFonts w:ascii="Times New Roman" w:hAnsi="Times New Roman" w:cs="Times New Roman"/>
          <w:b/>
          <w:bCs/>
          <w:lang w:val="es-CO"/>
        </w:rPr>
      </w:pPr>
    </w:p>
    <w:p w14:paraId="2FACE836" w14:textId="1206D845" w:rsidR="007904CD" w:rsidRPr="003A788D" w:rsidRDefault="007904CD" w:rsidP="007904CD">
      <w:pPr>
        <w:rPr>
          <w:rFonts w:ascii="Times New Roman" w:hAnsi="Times New Roman" w:cs="Times New Roman"/>
          <w:b/>
          <w:bCs/>
          <w:lang w:val="en-US"/>
        </w:rPr>
      </w:pPr>
      <w:r w:rsidRPr="003A788D">
        <w:rPr>
          <w:rFonts w:ascii="Times New Roman" w:hAnsi="Times New Roman" w:cs="Times New Roman"/>
          <w:b/>
          <w:bCs/>
          <w:lang w:val="en-US"/>
        </w:rPr>
        <w:t>Content:</w:t>
      </w:r>
    </w:p>
    <w:p w14:paraId="2BA38D09" w14:textId="31743441" w:rsidR="007904CD" w:rsidRDefault="007904CD" w:rsidP="007904C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-</w:t>
      </w:r>
      <w:r w:rsidR="00065F21" w:rsidRPr="00065F21">
        <w:rPr>
          <w:rFonts w:ascii="Times New Roman" w:hAnsi="Times New Roman" w:cs="Times New Roman"/>
          <w:lang w:val="en-US"/>
        </w:rPr>
        <w:t xml:space="preserve">Supplementary Table </w:t>
      </w:r>
      <w:r w:rsidR="00065F21">
        <w:rPr>
          <w:rFonts w:ascii="Times New Roman" w:hAnsi="Times New Roman" w:cs="Times New Roman"/>
          <w:lang w:val="en-US"/>
        </w:rPr>
        <w:t>A</w:t>
      </w:r>
      <w:r w:rsidR="00065F21" w:rsidRPr="00065F21">
        <w:rPr>
          <w:rFonts w:ascii="Times New Roman" w:hAnsi="Times New Roman" w:cs="Times New Roman"/>
          <w:lang w:val="en-US"/>
        </w:rPr>
        <w:t>1</w:t>
      </w:r>
    </w:p>
    <w:p w14:paraId="04820E5E" w14:textId="3442F495" w:rsidR="00065F21" w:rsidRDefault="00065F21" w:rsidP="007904C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-Supplementary Figures A1 to A4</w:t>
      </w:r>
    </w:p>
    <w:p w14:paraId="07ADC336" w14:textId="77777777" w:rsidR="00340EF5" w:rsidRPr="00392526" w:rsidRDefault="00340EF5" w:rsidP="00392526">
      <w:pPr>
        <w:rPr>
          <w:rFonts w:ascii="Times New Roman" w:hAnsi="Times New Roman" w:cs="Times New Roman"/>
          <w:b/>
          <w:bCs/>
          <w:lang w:val="en-US"/>
        </w:rPr>
      </w:pPr>
    </w:p>
    <w:p w14:paraId="00000002" w14:textId="77777777" w:rsidR="00961795" w:rsidRPr="00275750" w:rsidRDefault="00961795">
      <w:pPr>
        <w:rPr>
          <w:lang w:val="en-US"/>
        </w:rPr>
      </w:pPr>
    </w:p>
    <w:p w14:paraId="03476B24" w14:textId="3DA760A6" w:rsidR="00894E3F" w:rsidRDefault="00894E3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>Table A1.</w:t>
      </w:r>
      <w:r w:rsidR="007F71C2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 xml:space="preserve"> </w:t>
      </w:r>
      <w:r w:rsidR="007F71C2" w:rsidRPr="00C134D9">
        <w:rPr>
          <w:rFonts w:ascii="Times New Roman" w:eastAsia="Times New Roman" w:hAnsi="Times New Roman" w:cs="Times New Roman"/>
          <w:bCs/>
          <w:color w:val="000000"/>
          <w:shd w:val="clear" w:color="auto" w:fill="FCFCFC"/>
          <w:lang w:val="en-US"/>
        </w:rPr>
        <w:t>Values by sub-basin of the cartographic information used in the analysis of the different aspects related to the human activities.</w:t>
      </w:r>
    </w:p>
    <w:tbl>
      <w:tblPr>
        <w:tblW w:w="124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63"/>
        <w:gridCol w:w="1461"/>
        <w:gridCol w:w="1285"/>
        <w:gridCol w:w="2139"/>
        <w:gridCol w:w="1481"/>
        <w:gridCol w:w="1504"/>
      </w:tblGrid>
      <w:tr w:rsidR="004F4D6B" w:rsidRPr="004F4D6B" w14:paraId="7C2C25F0" w14:textId="77777777" w:rsidTr="00C134D9">
        <w:trPr>
          <w:trHeight w:val="565"/>
        </w:trPr>
        <w:tc>
          <w:tcPr>
            <w:tcW w:w="45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826A31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Sub-basin</w:t>
            </w:r>
          </w:p>
        </w:tc>
        <w:tc>
          <w:tcPr>
            <w:tcW w:w="14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730A123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Number of reservoirs</w:t>
            </w:r>
          </w:p>
        </w:tc>
        <w:tc>
          <w:tcPr>
            <w:tcW w:w="128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FA26C32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Reservoir area (Km²)</w:t>
            </w:r>
          </w:p>
        </w:tc>
        <w:tc>
          <w:tcPr>
            <w:tcW w:w="21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1D81A5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Number of populated centers</w:t>
            </w:r>
          </w:p>
        </w:tc>
        <w:tc>
          <w:tcPr>
            <w:tcW w:w="14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037BB8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Population density</w:t>
            </w:r>
          </w:p>
        </w:tc>
        <w:tc>
          <w:tcPr>
            <w:tcW w:w="15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AE2772" w14:textId="77777777" w:rsidR="00894E3F" w:rsidRPr="00C134D9" w:rsidRDefault="00894E3F" w:rsidP="00894E3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/>
              </w:rPr>
              <w:t>Number of mining titles</w:t>
            </w:r>
          </w:p>
        </w:tc>
      </w:tr>
      <w:tr w:rsidR="004F4D6B" w:rsidRPr="004F4D6B" w14:paraId="077CFE29" w14:textId="77777777" w:rsidTr="00C134D9">
        <w:trPr>
          <w:trHeight w:val="207"/>
        </w:trPr>
        <w:tc>
          <w:tcPr>
            <w:tcW w:w="456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6D1C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Palacé</w:t>
            </w:r>
          </w:p>
        </w:tc>
        <w:tc>
          <w:tcPr>
            <w:tcW w:w="14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AE0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263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F64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524B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157746</w:t>
            </w:r>
          </w:p>
        </w:tc>
        <w:tc>
          <w:tcPr>
            <w:tcW w:w="150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033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</w:tr>
      <w:tr w:rsidR="004F4D6B" w:rsidRPr="004F4D6B" w14:paraId="4F4C985B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56D0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Ovejas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383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4B5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E20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566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104246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6CC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4F4D6B" w:rsidRPr="004F4D6B" w14:paraId="03847B70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765E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Palo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B82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BA3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B36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9E7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256709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BEA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  <w:tr w:rsidR="004F4D6B" w:rsidRPr="004F4D6B" w14:paraId="79B8BD9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7095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Guachal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AFC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946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201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9144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205851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E6A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</w:tr>
      <w:tr w:rsidR="004F4D6B" w:rsidRPr="004F4D6B" w14:paraId="6AE34631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9C23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Ríos Guabas, Sabaletas y Sonso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B01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909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CA3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7B0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74015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3CE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</w:tr>
      <w:tr w:rsidR="004F4D6B" w:rsidRPr="004F4D6B" w14:paraId="0AE0EE72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AFF2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Amaime y Cerrito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C29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CF0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436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07A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292819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7D1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4F4D6B" w:rsidRPr="004F4D6B" w14:paraId="54D7EAB4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BFDB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Ríos Guadalajara y San Pedro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FFF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F69B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541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BC7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52362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BBC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4F4D6B" w:rsidRPr="004F4D6B" w14:paraId="331414A5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7278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Alto Río Cauca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577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0D7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0.07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14E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CD5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264903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0AE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</w:tr>
      <w:tr w:rsidR="004F4D6B" w:rsidRPr="004F4D6B" w14:paraId="735EE65C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E2BA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Rio Salado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CEE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BC9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0.69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3DE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987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160605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AC4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</w:tr>
      <w:tr w:rsidR="004F4D6B" w:rsidRPr="004F4D6B" w14:paraId="6633AD5E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F43C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Rios Arroyohondo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64A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811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936A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9D8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177734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437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4F4D6B" w:rsidRPr="004F4D6B" w14:paraId="141A8F0B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7CF0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Quinamayo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ADB7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C9E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C92A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707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118878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E7A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</w:tr>
      <w:tr w:rsidR="004F4D6B" w:rsidRPr="004F4D6B" w14:paraId="7E81C1D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8AAF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Timba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489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D42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82F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B47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342529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3EE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4F4D6B" w:rsidRPr="004F4D6B" w14:paraId="08A63150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CA0B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Claro y Jamundí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F19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53B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7FF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744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937972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EB0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4F4D6B" w:rsidRPr="004F4D6B" w14:paraId="468C5A12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0787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Rios Pescador y Catarina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759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3BB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B08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5E4B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194426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FB4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</w:t>
            </w:r>
          </w:p>
        </w:tc>
      </w:tr>
      <w:tr w:rsidR="004F4D6B" w:rsidRPr="004F4D6B" w14:paraId="5075037D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7D07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Otún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5B5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1F9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0.78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695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78F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598777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826C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</w:tr>
      <w:tr w:rsidR="004F4D6B" w:rsidRPr="004F4D6B" w14:paraId="29300373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8189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Chinchiná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192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790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0.15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A100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AF4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463666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8B8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</w:tr>
      <w:tr w:rsidR="004F4D6B" w:rsidRPr="004F4D6B" w14:paraId="7C8E5C94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9840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Tulua y Morales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FB6A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F19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292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35B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201764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E15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4F4D6B" w:rsidRPr="004F4D6B" w14:paraId="061DB28A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6135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Bugalagrande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227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A24F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191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D57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171512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C43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4F4D6B" w:rsidRPr="004F4D6B" w14:paraId="622E388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B608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lastRenderedPageBreak/>
              <w:t>Río Paila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2D4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6EA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301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F03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43182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8A82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4F4D6B" w:rsidRPr="004F4D6B" w14:paraId="5C66F00B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CA06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Cíenaga La Raya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015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A3E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9B7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354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122410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B4AE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99</w:t>
            </w:r>
          </w:p>
        </w:tc>
      </w:tr>
      <w:tr w:rsidR="004F4D6B" w:rsidRPr="004F4D6B" w14:paraId="6D4651D5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0743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Risaralda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6A6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11A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0.02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552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0A4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193557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919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</w:tr>
      <w:tr w:rsidR="004F4D6B" w:rsidRPr="004F4D6B" w14:paraId="0BAFE05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BC60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La Vieja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695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3C5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AF5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9A3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1399641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0D7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111</w:t>
            </w:r>
          </w:p>
        </w:tc>
      </w:tr>
      <w:tr w:rsidR="004F4D6B" w:rsidRPr="004F4D6B" w14:paraId="1B56129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9165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Frío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5D6A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80A4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F2B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CF3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201069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331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162</w:t>
            </w:r>
          </w:p>
        </w:tc>
      </w:tr>
      <w:tr w:rsidR="004F4D6B" w:rsidRPr="004F4D6B" w14:paraId="7A43AED1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366A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San Juan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716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324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780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4F8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178445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6B81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</w:tr>
      <w:tr w:rsidR="004F4D6B" w:rsidRPr="004F4D6B" w14:paraId="3984B85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74C9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Rio Tapias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1D1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953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5DF4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C8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123647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E86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</w:t>
            </w:r>
          </w:p>
        </w:tc>
      </w:tr>
      <w:tr w:rsidR="004F4D6B" w:rsidRPr="004F4D6B" w14:paraId="6F147BD4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DA32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Frío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763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3C2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718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3001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46164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7471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4F4D6B" w:rsidRPr="004F4D6B" w14:paraId="24B241A3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2990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Arma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7AC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6C6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71A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0E9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139191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2ECB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</w:tr>
      <w:tr w:rsidR="004F4D6B" w:rsidRPr="004F4D6B" w14:paraId="7D0F104C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E8C4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 San Juan y Puerto Valdia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5CE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D30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22.23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9E3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571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171459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A14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4F4D6B" w:rsidRPr="004F4D6B" w14:paraId="6E3FAD14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1137" w14:textId="5CA6FB76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 Cauca entre Río San Juan y Pto Valdivia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625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8B1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20.74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788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7D7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746013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C3B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213</w:t>
            </w:r>
          </w:p>
        </w:tc>
      </w:tr>
      <w:tr w:rsidR="004F4D6B" w:rsidRPr="004F4D6B" w14:paraId="5719BF3F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2043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Rios Las Cañas, Los Micos y Obando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5584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62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0.43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E71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29A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137183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BC0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4F4D6B" w:rsidRPr="004F4D6B" w14:paraId="33C9479A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5618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Porce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CC2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E001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26.34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D7C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11AE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3480837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E47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294</w:t>
            </w:r>
          </w:p>
        </w:tc>
      </w:tr>
      <w:tr w:rsidR="004F4D6B" w:rsidRPr="004F4D6B" w14:paraId="5F145D4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F1F5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Alto Nechí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1DF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845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6.97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137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7A7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102579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31C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4F4D6B" w:rsidRPr="004F4D6B" w14:paraId="66B1E216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EF69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 Cauca entre Puerto Valdivia y Río Nechí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598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37D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D14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9EC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32461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1A6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</w:tr>
      <w:tr w:rsidR="004F4D6B" w:rsidRPr="004F4D6B" w14:paraId="3482BD6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690A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Taraza y Man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67E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808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ADC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05E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126721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461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28</w:t>
            </w:r>
          </w:p>
        </w:tc>
      </w:tr>
      <w:tr w:rsidR="004F4D6B" w:rsidRPr="004F4D6B" w14:paraId="62BDCB33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6787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Bajo San Jorge - La Mojana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74F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25A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6B4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8D6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1817404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D05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</w:tr>
      <w:tr w:rsidR="004F4D6B" w:rsidRPr="004F4D6B" w14:paraId="1E16862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6EA3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Nare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8341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234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86.35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2FF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C48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673881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D4D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155</w:t>
            </w:r>
          </w:p>
        </w:tc>
      </w:tr>
      <w:tr w:rsidR="004F4D6B" w:rsidRPr="004F4D6B" w14:paraId="0169710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4C14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Rió San Bartolo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72C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427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9B7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E6D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226914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B24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</w:tr>
      <w:tr w:rsidR="004F4D6B" w:rsidRPr="004F4D6B" w14:paraId="36058F2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232B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Directos al Bajo Nechí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0CE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C88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185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041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32320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BB5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37</w:t>
            </w:r>
          </w:p>
        </w:tc>
      </w:tr>
      <w:tr w:rsidR="004F4D6B" w:rsidRPr="004F4D6B" w14:paraId="3F75E9FA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7B3D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Bajo Nechí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AF6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A68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0.23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C9E8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62E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176905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2B2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271</w:t>
            </w:r>
          </w:p>
        </w:tc>
      </w:tr>
      <w:tr w:rsidR="004F4D6B" w:rsidRPr="004F4D6B" w14:paraId="437562B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F134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Canal del Dique margen derecho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38F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781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125.67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C72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8FC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564995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02A0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118</w:t>
            </w:r>
          </w:p>
        </w:tc>
      </w:tr>
      <w:tr w:rsidR="004F4D6B" w:rsidRPr="004F4D6B" w14:paraId="03A96A48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79DD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Bajo Magdalena entre Calamar y desembocadura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BF4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6857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416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ED5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1548263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314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</w:tr>
      <w:tr w:rsidR="004F4D6B" w:rsidRPr="004F4D6B" w14:paraId="15E305CF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894D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Bajo Magdalena entre El Plato y Calamar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18C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60E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0.42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A39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7C4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209175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2478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4F4D6B" w:rsidRPr="004F4D6B" w14:paraId="685E1B6F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6382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Canal del Dique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28E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D68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20.34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D48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10D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983457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AF9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4F4D6B" w:rsidRPr="004F4D6B" w14:paraId="21E4B4D6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A75C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Piendamo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2D1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BCB4D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17.92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38E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B511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51850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77E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</w:tr>
      <w:tr w:rsidR="004F4D6B" w:rsidRPr="004F4D6B" w14:paraId="1169080A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985E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Chimicuica y Corozal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08F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DC20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07CC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F79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105340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747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4F4D6B" w:rsidRPr="004F4D6B" w14:paraId="285C616A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C002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Ariguaní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E1F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C23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666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E81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727032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9E3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65</w:t>
            </w:r>
          </w:p>
        </w:tc>
      </w:tr>
      <w:tr w:rsidR="004F4D6B" w:rsidRPr="004F4D6B" w14:paraId="148583B0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DB16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 Desbaratado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A70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38D9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BAD3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867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30538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D7B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4F4D6B" w:rsidRPr="004F4D6B" w14:paraId="3E51DACF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A4A1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Bajo Magdalena entre El Banco y El Plato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740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0B9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214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F8BF1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404657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6CA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32</w:t>
            </w:r>
          </w:p>
        </w:tc>
      </w:tr>
      <w:tr w:rsidR="004F4D6B" w:rsidRPr="004F4D6B" w14:paraId="3C397FC9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8F9A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Ríos Cali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F13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D45F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05B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43EE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945996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EF9B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</w:tr>
      <w:tr w:rsidR="004F4D6B" w:rsidRPr="004F4D6B" w14:paraId="327AB762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6D72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s-CO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s-CO"/>
              </w:rPr>
              <w:t>Ríos Lilí, Melendez y Canaveralejo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66D5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F0F6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09AC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FF284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839101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5C23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4F4D6B" w:rsidRPr="004F4D6B" w14:paraId="2E68746B" w14:textId="77777777" w:rsidTr="00C134D9">
        <w:trPr>
          <w:trHeight w:val="207"/>
        </w:trPr>
        <w:tc>
          <w:tcPr>
            <w:tcW w:w="456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FC1BF3" w14:textId="77777777" w:rsidR="00894E3F" w:rsidRPr="00C134D9" w:rsidRDefault="00894E3F" w:rsidP="00894E3F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Cienaga Mallorquin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90D5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1E188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5DBDA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FEB92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775901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D34C7" w14:textId="77777777" w:rsidR="00894E3F" w:rsidRPr="00C134D9" w:rsidRDefault="00894E3F" w:rsidP="00894E3F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C134D9">
              <w:rPr>
                <w:rFonts w:eastAsia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</w:tr>
    </w:tbl>
    <w:p w14:paraId="4EEC388B" w14:textId="77777777" w:rsidR="00894E3F" w:rsidRDefault="00894E3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sectPr w:rsidR="00894E3F" w:rsidSect="00C134D9">
          <w:pgSz w:w="15840" w:h="12240" w:orient="landscape"/>
          <w:pgMar w:top="1701" w:right="1418" w:bottom="1701" w:left="1418" w:header="709" w:footer="709" w:gutter="0"/>
          <w:pgNumType w:start="1"/>
          <w:cols w:space="720"/>
        </w:sectPr>
      </w:pPr>
    </w:p>
    <w:p w14:paraId="00000003" w14:textId="6032CA74" w:rsidR="00961795" w:rsidRPr="00275750" w:rsidRDefault="00275750" w:rsidP="00C134D9">
      <w:pPr>
        <w:rPr>
          <w:rFonts w:ascii="Times New Roman" w:eastAsia="Times New Roman" w:hAnsi="Times New Roman" w:cs="Times New Roman"/>
          <w:color w:val="000000"/>
          <w:lang w:val="en-US"/>
        </w:rPr>
      </w:pPr>
      <w:r w:rsidRPr="00275750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lastRenderedPageBreak/>
        <w:t>Fig A1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. </w:t>
      </w:r>
      <w:r w:rsidRPr="00275750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>Delineation of the study</w:t>
      </w:r>
      <w:r w:rsidR="003C61EE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 xml:space="preserve"> area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. To </w:t>
      </w:r>
      <w:r w:rsidR="00164A65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delimit the study </w:t>
      </w:r>
      <w:r w:rsidR="00301C03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>area,</w:t>
      </w:r>
      <w:r w:rsidR="00164A65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 we identified</w:t>
      </w:r>
      <w:r w:rsidR="00164A65"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 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the sub-basins </w:t>
      </w:r>
      <w:r w:rsidR="003C61EE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>with</w:t>
      </w:r>
      <w:r w:rsidR="003C61EE"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 </w:t>
      </w:r>
      <w:r w:rsidR="00876BB6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>suitable</w:t>
      </w:r>
      <w:r w:rsidR="00876BB6"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 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environmental conditions for </w:t>
      </w:r>
      <w:r w:rsidRPr="00275750">
        <w:rPr>
          <w:rFonts w:ascii="Times New Roman" w:eastAsia="Times New Roman" w:hAnsi="Times New Roman" w:cs="Times New Roman"/>
          <w:i/>
          <w:color w:val="000000"/>
          <w:lang w:val="en-US"/>
        </w:rPr>
        <w:t>B. henni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="00164A65">
        <w:rPr>
          <w:rFonts w:ascii="Times New Roman" w:eastAsia="Times New Roman" w:hAnsi="Times New Roman" w:cs="Times New Roman"/>
          <w:color w:val="000000"/>
          <w:lang w:val="en-US"/>
        </w:rPr>
        <w:t>using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 xml:space="preserve"> the binary </w:t>
      </w:r>
      <w:r w:rsidR="00876BB6" w:rsidRPr="00275750">
        <w:rPr>
          <w:rFonts w:ascii="Times New Roman" w:eastAsia="Times New Roman" w:hAnsi="Times New Roman" w:cs="Times New Roman"/>
          <w:color w:val="000000"/>
          <w:lang w:val="en-US"/>
        </w:rPr>
        <w:t xml:space="preserve">(presence-absence) </w:t>
      </w:r>
      <w:r w:rsidR="00876BB6">
        <w:rPr>
          <w:rFonts w:ascii="Times New Roman" w:eastAsia="Times New Roman" w:hAnsi="Times New Roman" w:cs="Times New Roman"/>
          <w:color w:val="000000"/>
          <w:lang w:val="en-US"/>
        </w:rPr>
        <w:t xml:space="preserve">potential distribution 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 xml:space="preserve">model of the species, the presence-absence records, and expert opinions. This allowed us to eliminate the areas within the Magdalena macrobasin </w:t>
      </w:r>
      <w:r w:rsidR="007A5298">
        <w:rPr>
          <w:rFonts w:ascii="Times New Roman" w:eastAsia="Times New Roman" w:hAnsi="Times New Roman" w:cs="Times New Roman"/>
          <w:color w:val="000000"/>
          <w:lang w:val="en-US"/>
        </w:rPr>
        <w:t>predicted as suitable but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3C61EE">
        <w:rPr>
          <w:rFonts w:ascii="Times New Roman" w:eastAsia="Times New Roman" w:hAnsi="Times New Roman" w:cs="Times New Roman"/>
          <w:color w:val="000000"/>
          <w:lang w:val="en-US"/>
        </w:rPr>
        <w:t xml:space="preserve">possibly 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>due to overprediction</w:t>
      </w:r>
      <w:r w:rsidR="007A5298">
        <w:rPr>
          <w:rFonts w:ascii="Times New Roman" w:eastAsia="Times New Roman" w:hAnsi="Times New Roman" w:cs="Times New Roman"/>
          <w:color w:val="000000"/>
          <w:lang w:val="en-US"/>
        </w:rPr>
        <w:t xml:space="preserve">, and to include all sub-basins north of the Cauca basin despite </w:t>
      </w:r>
      <w:r w:rsidR="003C61EE">
        <w:rPr>
          <w:rFonts w:ascii="Times New Roman" w:eastAsia="Times New Roman" w:hAnsi="Times New Roman" w:cs="Times New Roman"/>
          <w:color w:val="000000"/>
          <w:lang w:val="en-US"/>
        </w:rPr>
        <w:t xml:space="preserve">having </w:t>
      </w:r>
      <w:r w:rsidR="007A5298">
        <w:rPr>
          <w:rFonts w:ascii="Times New Roman" w:eastAsia="Times New Roman" w:hAnsi="Times New Roman" w:cs="Times New Roman"/>
          <w:color w:val="000000"/>
          <w:lang w:val="en-US"/>
        </w:rPr>
        <w:t xml:space="preserve">only </w:t>
      </w:r>
      <w:r w:rsidR="003C61EE">
        <w:rPr>
          <w:rFonts w:ascii="Times New Roman" w:eastAsia="Times New Roman" w:hAnsi="Times New Roman" w:cs="Times New Roman"/>
          <w:color w:val="000000"/>
          <w:lang w:val="en-US"/>
        </w:rPr>
        <w:t xml:space="preserve">a </w:t>
      </w:r>
      <w:r w:rsidR="007A5298">
        <w:rPr>
          <w:rFonts w:ascii="Times New Roman" w:eastAsia="Times New Roman" w:hAnsi="Times New Roman" w:cs="Times New Roman"/>
          <w:color w:val="000000"/>
          <w:lang w:val="en-US"/>
        </w:rPr>
        <w:t>few areas regarded as suitable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00000004" w14:textId="4D3506F0" w:rsidR="00961795" w:rsidRDefault="00275750" w:rsidP="00392526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3D8C2FCA" wp14:editId="379FEEF4">
            <wp:extent cx="4115840" cy="5760000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4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961795" w:rsidRDefault="00961795"/>
    <w:p w14:paraId="00000006" w14:textId="77777777" w:rsidR="00961795" w:rsidRDefault="00961795"/>
    <w:p w14:paraId="00000007" w14:textId="77777777" w:rsidR="00961795" w:rsidRDefault="00961795"/>
    <w:p w14:paraId="00000008" w14:textId="77777777" w:rsidR="00961795" w:rsidRDefault="00961795"/>
    <w:p w14:paraId="00000009" w14:textId="77777777" w:rsidR="00961795" w:rsidRDefault="00961795"/>
    <w:p w14:paraId="0000000A" w14:textId="77777777" w:rsidR="00961795" w:rsidRDefault="00961795"/>
    <w:p w14:paraId="0000000B" w14:textId="270EB3EF" w:rsidR="00961795" w:rsidRDefault="00961795"/>
    <w:p w14:paraId="7A19AC1E" w14:textId="50A92B9B" w:rsidR="001161AC" w:rsidRDefault="001161AC"/>
    <w:p w14:paraId="00000015" w14:textId="57055867" w:rsidR="00961795" w:rsidRPr="00035361" w:rsidRDefault="00275750" w:rsidP="0039252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Times New Roman" w:eastAsia="Times New Roman" w:hAnsi="Times New Roman" w:cs="Times New Roman"/>
          <w:noProof/>
          <w:lang w:val="en-US"/>
        </w:rPr>
      </w:pPr>
      <w:r w:rsidRPr="00275750">
        <w:rPr>
          <w:rFonts w:ascii="Times New Roman" w:eastAsia="Times New Roman" w:hAnsi="Times New Roman" w:cs="Times New Roman"/>
          <w:b/>
          <w:color w:val="000000"/>
          <w:lang w:val="en-US"/>
        </w:rPr>
        <w:lastRenderedPageBreak/>
        <w:t>Fig A</w:t>
      </w:r>
      <w:r>
        <w:rPr>
          <w:rFonts w:ascii="Times New Roman" w:eastAsia="Times New Roman" w:hAnsi="Times New Roman" w:cs="Times New Roman"/>
          <w:b/>
          <w:color w:val="000000"/>
          <w:lang w:val="en-US"/>
        </w:rPr>
        <w:t>2</w:t>
      </w:r>
      <w:r w:rsidRPr="00275750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. </w:t>
      </w:r>
      <w:r w:rsidRPr="00275750">
        <w:rPr>
          <w:rFonts w:ascii="Times New Roman" w:eastAsia="Times New Roman" w:hAnsi="Times New Roman" w:cs="Times New Roman"/>
          <w:b/>
          <w:lang w:val="en-US"/>
        </w:rPr>
        <w:t>Delineation of sub-basins with high priority for conservation using different selection metrics</w:t>
      </w:r>
      <w:r w:rsidR="00497619">
        <w:rPr>
          <w:rFonts w:ascii="Times New Roman" w:eastAsia="Times New Roman" w:hAnsi="Times New Roman" w:cs="Times New Roman"/>
          <w:b/>
          <w:lang w:val="en-US"/>
        </w:rPr>
        <w:t xml:space="preserve"> and weights</w:t>
      </w:r>
      <w:r w:rsidRPr="00275750">
        <w:rPr>
          <w:rFonts w:ascii="Times New Roman" w:eastAsia="Times New Roman" w:hAnsi="Times New Roman" w:cs="Times New Roman"/>
          <w:b/>
          <w:lang w:val="en-US"/>
        </w:rPr>
        <w:t>.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 The sub-basins delineated in yellow are identified as high priority for implementing conservation strategies for </w:t>
      </w:r>
      <w:r w:rsidRPr="006062F5">
        <w:rPr>
          <w:rFonts w:ascii="Times New Roman" w:eastAsia="Times New Roman" w:hAnsi="Times New Roman" w:cs="Times New Roman"/>
          <w:i/>
          <w:iCs/>
          <w:lang w:val="en-US"/>
        </w:rPr>
        <w:t>B. henni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. (A) </w:t>
      </w:r>
      <w:r w:rsidR="003C61EE">
        <w:rPr>
          <w:rFonts w:ascii="Times New Roman" w:eastAsia="Times New Roman" w:hAnsi="Times New Roman" w:cs="Times New Roman"/>
          <w:lang w:val="en-US"/>
        </w:rPr>
        <w:t>S</w:t>
      </w:r>
      <w:r w:rsidRPr="00275750">
        <w:rPr>
          <w:rFonts w:ascii="Times New Roman" w:eastAsia="Times New Roman" w:hAnsi="Times New Roman" w:cs="Times New Roman"/>
          <w:lang w:val="en-US"/>
        </w:rPr>
        <w:t>ub-basins with a high conservation priority</w:t>
      </w:r>
      <w:r w:rsidR="00497619">
        <w:rPr>
          <w:rFonts w:ascii="Times New Roman" w:eastAsia="Times New Roman" w:hAnsi="Times New Roman" w:cs="Times New Roman"/>
          <w:lang w:val="en-US"/>
        </w:rPr>
        <w:t xml:space="preserve"> with the original implementation of the protocol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, (B) </w:t>
      </w:r>
      <w:r w:rsidR="00497619">
        <w:rPr>
          <w:rFonts w:ascii="Times New Roman" w:eastAsia="Times New Roman" w:hAnsi="Times New Roman" w:cs="Times New Roman"/>
          <w:lang w:val="en-US"/>
        </w:rPr>
        <w:t xml:space="preserve">results of analyses including </w:t>
      </w:r>
      <w:r w:rsidRPr="00275750">
        <w:rPr>
          <w:rFonts w:ascii="Times New Roman" w:eastAsia="Times New Roman" w:hAnsi="Times New Roman" w:cs="Times New Roman"/>
          <w:lang w:val="en-US"/>
        </w:rPr>
        <w:t>different cartographic information</w:t>
      </w:r>
      <w:r w:rsidR="00497619">
        <w:rPr>
          <w:rFonts w:ascii="Times New Roman" w:eastAsia="Times New Roman" w:hAnsi="Times New Roman" w:cs="Times New Roman"/>
          <w:lang w:val="en-US"/>
        </w:rPr>
        <w:t xml:space="preserve"> regarding human activities</w:t>
      </w:r>
      <w:r w:rsidRPr="00275750">
        <w:rPr>
          <w:rFonts w:ascii="Times New Roman" w:eastAsia="Times New Roman" w:hAnsi="Times New Roman" w:cs="Times New Roman"/>
          <w:lang w:val="en-US"/>
        </w:rPr>
        <w:t>, (C) using the potential distribution in continuous output format</w:t>
      </w:r>
      <w:r w:rsidR="00497619">
        <w:rPr>
          <w:rFonts w:ascii="Times New Roman" w:eastAsia="Times New Roman" w:hAnsi="Times New Roman" w:cs="Times New Roman"/>
          <w:lang w:val="en-US"/>
        </w:rPr>
        <w:t xml:space="preserve"> to measure representativeness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, (D) </w:t>
      </w:r>
      <w:r w:rsidR="00C62A26" w:rsidRPr="00C62A26">
        <w:rPr>
          <w:rFonts w:ascii="Times New Roman" w:eastAsia="Times New Roman" w:hAnsi="Times New Roman" w:cs="Times New Roman"/>
          <w:lang w:val="en-US"/>
        </w:rPr>
        <w:t>standardizing the viability criterion with the proportion of the species potential presence –in binary output</w:t>
      </w:r>
      <w:r w:rsidR="00C62A26">
        <w:rPr>
          <w:rFonts w:ascii="Times New Roman" w:eastAsia="Times New Roman" w:hAnsi="Times New Roman" w:cs="Times New Roman"/>
          <w:lang w:val="en-US"/>
        </w:rPr>
        <w:t xml:space="preserve"> </w:t>
      </w:r>
      <w:r w:rsidR="00C62A26" w:rsidRPr="00C62A26">
        <w:rPr>
          <w:rFonts w:ascii="Times New Roman" w:eastAsia="Times New Roman" w:hAnsi="Times New Roman" w:cs="Times New Roman"/>
          <w:lang w:val="en-US"/>
        </w:rPr>
        <w:t xml:space="preserve">format– </w:t>
      </w:r>
      <w:r w:rsidR="0007032A">
        <w:rPr>
          <w:rFonts w:ascii="Times New Roman" w:eastAsia="Times New Roman" w:hAnsi="Times New Roman" w:cs="Times New Roman"/>
          <w:lang w:val="en-US"/>
        </w:rPr>
        <w:t>in</w:t>
      </w:r>
      <w:r w:rsidR="0007032A" w:rsidRPr="00C62A26">
        <w:rPr>
          <w:rFonts w:ascii="Times New Roman" w:eastAsia="Times New Roman" w:hAnsi="Times New Roman" w:cs="Times New Roman"/>
          <w:lang w:val="en-US"/>
        </w:rPr>
        <w:t xml:space="preserve"> </w:t>
      </w:r>
      <w:r w:rsidR="00C62A26" w:rsidRPr="00C62A26">
        <w:rPr>
          <w:rFonts w:ascii="Times New Roman" w:eastAsia="Times New Roman" w:hAnsi="Times New Roman" w:cs="Times New Roman"/>
          <w:lang w:val="en-US"/>
        </w:rPr>
        <w:t>each sub-basin, (E) standardizing the viability criterion using the map in continuous output format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, and (F) assigning double </w:t>
      </w:r>
      <w:r w:rsidR="003C61EE">
        <w:rPr>
          <w:rFonts w:ascii="Times New Roman" w:eastAsia="Times New Roman" w:hAnsi="Times New Roman" w:cs="Times New Roman"/>
          <w:lang w:val="en-US"/>
        </w:rPr>
        <w:t xml:space="preserve">the </w:t>
      </w:r>
      <w:r w:rsidRPr="00275750">
        <w:rPr>
          <w:rFonts w:ascii="Times New Roman" w:eastAsia="Times New Roman" w:hAnsi="Times New Roman" w:cs="Times New Roman"/>
          <w:lang w:val="en-US"/>
        </w:rPr>
        <w:t>weight</w:t>
      </w:r>
      <w:r w:rsidR="003C61EE">
        <w:rPr>
          <w:rFonts w:ascii="Times New Roman" w:eastAsia="Times New Roman" w:hAnsi="Times New Roman" w:cs="Times New Roman"/>
          <w:lang w:val="en-US"/>
        </w:rPr>
        <w:t xml:space="preserve"> of other criteria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 to the criteria of representativeness and viability.</w:t>
      </w:r>
    </w:p>
    <w:p w14:paraId="0BD4A9E1" w14:textId="61C1DB94" w:rsidR="00275750" w:rsidRPr="00275750" w:rsidRDefault="00275750" w:rsidP="0039252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F4CFBCC" wp14:editId="79E16799">
            <wp:extent cx="4937760" cy="6106555"/>
            <wp:effectExtent l="0" t="0" r="0" b="889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54" cy="61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6" w14:textId="41234D85" w:rsidR="00961795" w:rsidRPr="00301C03" w:rsidRDefault="00275750" w:rsidP="00392526">
      <w:pPr>
        <w:spacing w:before="240" w:after="240" w:line="276" w:lineRule="auto"/>
        <w:rPr>
          <w:rFonts w:ascii="Times New Roman" w:eastAsia="Times New Roman" w:hAnsi="Times New Roman" w:cs="Times New Roman"/>
          <w:lang w:val="en-US"/>
        </w:rPr>
      </w:pPr>
      <w:r w:rsidRPr="00275750">
        <w:rPr>
          <w:rFonts w:ascii="Times New Roman" w:eastAsia="Times New Roman" w:hAnsi="Times New Roman" w:cs="Times New Roman"/>
          <w:b/>
          <w:lang w:val="en-US"/>
        </w:rPr>
        <w:lastRenderedPageBreak/>
        <w:t>Fig A</w:t>
      </w:r>
      <w:r>
        <w:rPr>
          <w:rFonts w:ascii="Times New Roman" w:eastAsia="Times New Roman" w:hAnsi="Times New Roman" w:cs="Times New Roman"/>
          <w:b/>
          <w:lang w:val="en-US"/>
        </w:rPr>
        <w:t>3</w:t>
      </w:r>
      <w:r w:rsidRPr="00275750">
        <w:rPr>
          <w:rFonts w:ascii="Times New Roman" w:eastAsia="Times New Roman" w:hAnsi="Times New Roman" w:cs="Times New Roman"/>
          <w:b/>
          <w:lang w:val="en-US"/>
        </w:rPr>
        <w:t xml:space="preserve">. </w:t>
      </w:r>
      <w:r w:rsidR="00164A65">
        <w:rPr>
          <w:rFonts w:ascii="Times New Roman" w:eastAsia="Times New Roman" w:hAnsi="Times New Roman" w:cs="Times New Roman"/>
          <w:b/>
          <w:lang w:val="en-US"/>
        </w:rPr>
        <w:t>S</w:t>
      </w:r>
      <w:r w:rsidRPr="00275750">
        <w:rPr>
          <w:rFonts w:ascii="Times New Roman" w:eastAsia="Times New Roman" w:hAnsi="Times New Roman" w:cs="Times New Roman"/>
          <w:b/>
          <w:lang w:val="en-US"/>
        </w:rPr>
        <w:t xml:space="preserve">ub-basins </w:t>
      </w:r>
      <w:r w:rsidR="00164A65">
        <w:rPr>
          <w:rFonts w:ascii="Times New Roman" w:eastAsia="Times New Roman" w:hAnsi="Times New Roman" w:cs="Times New Roman"/>
          <w:b/>
          <w:lang w:val="en-US"/>
        </w:rPr>
        <w:t>prioritized for conservation based on six alternative strategies</w:t>
      </w:r>
      <w:r w:rsidRPr="00275750">
        <w:rPr>
          <w:rFonts w:ascii="Times New Roman" w:eastAsia="Times New Roman" w:hAnsi="Times New Roman" w:cs="Times New Roman"/>
          <w:b/>
          <w:lang w:val="en-US"/>
        </w:rPr>
        <w:t>.</w:t>
      </w:r>
      <w:r w:rsidRPr="00275750">
        <w:rPr>
          <w:rFonts w:ascii="Times New Roman" w:eastAsia="Times New Roman" w:hAnsi="Times New Roman" w:cs="Times New Roman"/>
          <w:lang w:val="en-US"/>
        </w:rPr>
        <w:t xml:space="preserve"> </w:t>
      </w:r>
      <w:r w:rsidR="00164A65">
        <w:rPr>
          <w:rFonts w:ascii="Times New Roman" w:eastAsia="Times New Roman" w:hAnsi="Times New Roman" w:cs="Times New Roman"/>
          <w:lang w:val="en-US"/>
        </w:rPr>
        <w:t>Color</w:t>
      </w:r>
      <w:r w:rsidRPr="0090570D">
        <w:rPr>
          <w:rFonts w:ascii="Times New Roman" w:eastAsia="Times New Roman" w:hAnsi="Times New Roman" w:cs="Times New Roman"/>
          <w:lang w:val="en-US"/>
        </w:rPr>
        <w:t xml:space="preserve">ed sub-basins </w:t>
      </w:r>
      <w:r w:rsidR="00164A65">
        <w:rPr>
          <w:rFonts w:ascii="Times New Roman" w:eastAsia="Times New Roman" w:hAnsi="Times New Roman" w:cs="Times New Roman"/>
          <w:lang w:val="en-US"/>
        </w:rPr>
        <w:t xml:space="preserve">were identified as priorities for conservation of </w:t>
      </w:r>
      <w:r w:rsidR="00164A65" w:rsidRPr="00301C03">
        <w:rPr>
          <w:rFonts w:ascii="Times New Roman" w:eastAsia="Times New Roman" w:hAnsi="Times New Roman" w:cs="Times New Roman"/>
          <w:i/>
          <w:iCs/>
          <w:lang w:val="en-US"/>
        </w:rPr>
        <w:t>B. henni</w:t>
      </w:r>
      <w:r w:rsidR="00164A65">
        <w:rPr>
          <w:rFonts w:ascii="Times New Roman" w:eastAsia="Times New Roman" w:hAnsi="Times New Roman" w:cs="Times New Roman"/>
          <w:lang w:val="en-US"/>
        </w:rPr>
        <w:t xml:space="preserve"> based on single or more (up to six) alternative methodologies</w:t>
      </w:r>
      <w:r w:rsidRPr="0090570D">
        <w:rPr>
          <w:rFonts w:ascii="Times New Roman" w:eastAsia="Times New Roman" w:hAnsi="Times New Roman" w:cs="Times New Roman"/>
          <w:lang w:val="en-US"/>
        </w:rPr>
        <w:t>. For information</w:t>
      </w:r>
      <w:r w:rsidR="00164A65">
        <w:rPr>
          <w:rFonts w:ascii="Times New Roman" w:eastAsia="Times New Roman" w:hAnsi="Times New Roman" w:cs="Times New Roman"/>
          <w:lang w:val="en-US"/>
        </w:rPr>
        <w:t xml:space="preserve"> on the results of each methodology</w:t>
      </w:r>
      <w:r w:rsidRPr="0090570D">
        <w:rPr>
          <w:rFonts w:ascii="Times New Roman" w:eastAsia="Times New Roman" w:hAnsi="Times New Roman" w:cs="Times New Roman"/>
          <w:lang w:val="en-US"/>
        </w:rPr>
        <w:t>, see</w:t>
      </w:r>
      <w:r w:rsidRPr="00301C03">
        <w:rPr>
          <w:rFonts w:ascii="Times New Roman" w:eastAsia="Times New Roman" w:hAnsi="Times New Roman" w:cs="Times New Roman"/>
          <w:lang w:val="en-US"/>
        </w:rPr>
        <w:t xml:space="preserve"> Figure </w:t>
      </w:r>
      <w:r w:rsidRPr="00301C03">
        <w:rPr>
          <w:rFonts w:ascii="Times New Roman" w:eastAsia="Times New Roman" w:hAnsi="Times New Roman" w:cs="Times New Roman"/>
          <w:b/>
          <w:bCs/>
          <w:lang w:val="en-US"/>
        </w:rPr>
        <w:t>A2</w:t>
      </w:r>
      <w:r w:rsidRPr="00301C03">
        <w:rPr>
          <w:rFonts w:ascii="Times New Roman" w:eastAsia="Times New Roman" w:hAnsi="Times New Roman" w:cs="Times New Roman"/>
          <w:lang w:val="en-US"/>
        </w:rPr>
        <w:t>.</w:t>
      </w:r>
    </w:p>
    <w:p w14:paraId="00000017" w14:textId="324362E6" w:rsidR="00961795" w:rsidRDefault="0090570D" w:rsidP="0039252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 w:eastAsia="en-US"/>
        </w:rPr>
        <w:drawing>
          <wp:inline distT="0" distB="0" distL="0" distR="0" wp14:anchorId="751BEBE3" wp14:editId="2C8A37CF">
            <wp:extent cx="3572700" cy="61200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C568" w14:textId="719DD4A2" w:rsidR="00275750" w:rsidRDefault="002757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</w:rPr>
      </w:pPr>
    </w:p>
    <w:p w14:paraId="4EF35159" w14:textId="67849EF8" w:rsidR="00275750" w:rsidRDefault="002757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</w:rPr>
      </w:pPr>
    </w:p>
    <w:p w14:paraId="65D36F8D" w14:textId="6B21AAC8" w:rsidR="00275750" w:rsidRDefault="002757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</w:rPr>
      </w:pPr>
    </w:p>
    <w:p w14:paraId="05A19912" w14:textId="2379F5EC" w:rsidR="00275750" w:rsidRDefault="002757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</w:rPr>
      </w:pPr>
    </w:p>
    <w:p w14:paraId="0A9D1C07" w14:textId="0CC916FA" w:rsidR="00275750" w:rsidRPr="00275750" w:rsidRDefault="00275750" w:rsidP="0027575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Times New Roman" w:eastAsia="Times New Roman" w:hAnsi="Times New Roman" w:cs="Times New Roman"/>
          <w:color w:val="000000"/>
          <w:lang w:val="en-US"/>
        </w:rPr>
      </w:pPr>
      <w:r w:rsidRPr="00275750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lastRenderedPageBreak/>
        <w:t>Fig A</w:t>
      </w:r>
      <w:r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>4</w:t>
      </w:r>
      <w:r w:rsidRPr="00275750">
        <w:rPr>
          <w:rFonts w:ascii="Times New Roman" w:eastAsia="Times New Roman" w:hAnsi="Times New Roman" w:cs="Times New Roman"/>
          <w:b/>
          <w:color w:val="000000"/>
          <w:shd w:val="clear" w:color="auto" w:fill="FCFCFC"/>
          <w:lang w:val="en-US"/>
        </w:rPr>
        <w:t xml:space="preserve">. Limiting criteria for each sub-basin. 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>The color in each sub-basin represents the criteria that most contribute</w:t>
      </w:r>
      <w:r w:rsidR="00164A65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>d</w:t>
      </w:r>
      <w:r w:rsidRPr="00275750">
        <w:rPr>
          <w:rFonts w:ascii="Times New Roman" w:eastAsia="Times New Roman" w:hAnsi="Times New Roman" w:cs="Times New Roman"/>
          <w:color w:val="000000"/>
          <w:shd w:val="clear" w:color="auto" w:fill="FCFCFC"/>
          <w:lang w:val="en-US"/>
        </w:rPr>
        <w:t xml:space="preserve"> to its conservation priority. For example, the limiting criteria in most sub-basins was complementarity, which indicates that the state of protection of the fluvial networks is nearly non-existent. The sub-basins outlined in black represent the sub-basins with priority to implement conservation efforts for </w:t>
      </w:r>
      <w:r w:rsidRPr="00275750">
        <w:rPr>
          <w:rFonts w:ascii="Times New Roman" w:eastAsia="Times New Roman" w:hAnsi="Times New Roman" w:cs="Times New Roman"/>
          <w:i/>
          <w:color w:val="000000"/>
          <w:lang w:val="en-US"/>
        </w:rPr>
        <w:t>B. henni</w:t>
      </w:r>
      <w:r w:rsidRPr="00275750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6FCF9BE9" w14:textId="6839E580" w:rsidR="00275750" w:rsidRPr="00275750" w:rsidRDefault="00275750" w:rsidP="0039252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FAC6736" wp14:editId="4405DF44">
            <wp:extent cx="3702080" cy="5760000"/>
            <wp:effectExtent l="0" t="0" r="0" b="0"/>
            <wp:docPr id="8" name="Imagen 8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8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750" w:rsidRPr="00275750">
      <w:pgSz w:w="12240" w:h="15840"/>
      <w:pgMar w:top="1417" w:right="1701" w:bottom="1417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327"/>
  </w:docVars>
  <w:rsids>
    <w:rsidRoot w:val="00961795"/>
    <w:rsid w:val="00035361"/>
    <w:rsid w:val="00065F21"/>
    <w:rsid w:val="0007032A"/>
    <w:rsid w:val="000A1B70"/>
    <w:rsid w:val="000B67E6"/>
    <w:rsid w:val="001161AC"/>
    <w:rsid w:val="00164A65"/>
    <w:rsid w:val="00275750"/>
    <w:rsid w:val="00301C03"/>
    <w:rsid w:val="00340EF5"/>
    <w:rsid w:val="00392526"/>
    <w:rsid w:val="003A788D"/>
    <w:rsid w:val="003C61EE"/>
    <w:rsid w:val="00497619"/>
    <w:rsid w:val="004D5D30"/>
    <w:rsid w:val="004F4D6B"/>
    <w:rsid w:val="00575CB0"/>
    <w:rsid w:val="006062F5"/>
    <w:rsid w:val="006149A3"/>
    <w:rsid w:val="00622E01"/>
    <w:rsid w:val="006C4DD3"/>
    <w:rsid w:val="00772D15"/>
    <w:rsid w:val="007904CD"/>
    <w:rsid w:val="007A5298"/>
    <w:rsid w:val="007F71C2"/>
    <w:rsid w:val="00876BB6"/>
    <w:rsid w:val="00894E3F"/>
    <w:rsid w:val="0090570D"/>
    <w:rsid w:val="00961795"/>
    <w:rsid w:val="00C134D9"/>
    <w:rsid w:val="00C171EB"/>
    <w:rsid w:val="00C62A26"/>
    <w:rsid w:val="00DE33F1"/>
    <w:rsid w:val="00EB48F4"/>
    <w:rsid w:val="00F8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7D021"/>
  <w15:docId w15:val="{6674925B-1376-4A9D-9BBA-3B32CC1C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general"/>
    <w:qFormat/>
    <w:rsid w:val="00384C7B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C7B"/>
    <w:pPr>
      <w:keepNext/>
      <w:keepLines/>
      <w:spacing w:after="20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384C7B"/>
    <w:rPr>
      <w:rFonts w:ascii="Arial" w:eastAsiaTheme="majorEastAsia" w:hAnsi="Arial" w:cstheme="majorBidi"/>
      <w:b/>
      <w:bCs/>
      <w:caps/>
      <w:sz w:val="24"/>
      <w:szCs w:val="28"/>
      <w:lang w:val="es-ES_tradnl"/>
    </w:rPr>
  </w:style>
  <w:style w:type="character" w:customStyle="1" w:styleId="None">
    <w:name w:val="None"/>
    <w:rsid w:val="00384C7B"/>
  </w:style>
  <w:style w:type="character" w:customStyle="1" w:styleId="Hyperlink0">
    <w:name w:val="Hyperlink.0"/>
    <w:basedOn w:val="None"/>
    <w:rsid w:val="00384C7B"/>
    <w:rPr>
      <w:rFonts w:ascii="Times New Roman" w:eastAsia="Times New Roman" w:hAnsi="Times New Roman" w:cs="Times New Roman"/>
      <w:shd w:val="clear" w:color="auto" w:fill="FCFCFC"/>
      <w:lang w:val="es-ES_tradnl"/>
    </w:rPr>
  </w:style>
  <w:style w:type="paragraph" w:customStyle="1" w:styleId="BodyAA">
    <w:name w:val="Body A A"/>
    <w:rsid w:val="00384C7B"/>
    <w:pPr>
      <w:pBdr>
        <w:top w:val="nil"/>
        <w:left w:val="nil"/>
        <w:bottom w:val="nil"/>
        <w:right w:val="nil"/>
        <w:between w:val="nil"/>
        <w:bar w:val="nil"/>
      </w:pBdr>
      <w:spacing w:before="120" w:after="120"/>
    </w:pPr>
    <w:rPr>
      <w:rFonts w:ascii="Times New Roman" w:eastAsia="Arial Unicode MS" w:hAnsi="Times New Roman" w:cs="Arial Unicode MS"/>
      <w:color w:val="000000"/>
      <w:u w:color="000000"/>
      <w:bdr w:val="nil"/>
      <w:lang w:val="es-ES_tradn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BB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BB6"/>
    <w:rPr>
      <w:rFonts w:ascii="Times New Roman" w:hAnsi="Times New Roman" w:cs="Times New Roman"/>
      <w:sz w:val="18"/>
      <w:szCs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6B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6BB6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6062F5"/>
    <w:pPr>
      <w:jc w:val="left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3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WtZS8wpCiFwfNxC7SgDDaPXyjw==">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703</Words>
  <Characters>3871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VALENCIA RODRÍGUEZ</dc:creator>
  <cp:lastModifiedBy>DANIEL VALENCIA RODRÍGUEZ</cp:lastModifiedBy>
  <cp:revision>3</cp:revision>
  <dcterms:created xsi:type="dcterms:W3CDTF">2022-08-01T18:26:00Z</dcterms:created>
  <dcterms:modified xsi:type="dcterms:W3CDTF">2022-08-01T18:31:00Z</dcterms:modified>
</cp:coreProperties>
</file>