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EQUIPO</w:t>
      </w:r>
    </w:p>
    <w:tbl>
      <w:tblPr>
        <w:tblStyle w:val="Table1"/>
        <w:tblW w:w="9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300"/>
        <w:gridCol w:w="1245"/>
        <w:gridCol w:w="3390"/>
        <w:tblGridChange w:id="0">
          <w:tblGrid>
            <w:gridCol w:w="1170"/>
            <w:gridCol w:w="3300"/>
            <w:gridCol w:w="1245"/>
            <w:gridCol w:w="3390"/>
          </w:tblGrid>
        </w:tblGridChange>
      </w:tblGrid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ÍNDICE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tabs>
              <w:tab w:val="right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ydd89ctyd2p3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INTRODUCCIÓN Y DESCRIPCIÓN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_ydd89ctyd2p3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p2os35fu4g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Indicación de uso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_lp2os35fu4g2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wriissydh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Funcionamiento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_qwriissydhh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4eooqtw7tn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DE INSPECCIÓN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_a4eooqtw7tn8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fujke5prmz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Inspección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_bfujke5prmzy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z013zyljdz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Funcionalidad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_mz013zyljdzi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xqi6ygc26d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Etiqueta de mantenimiento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_qxqi6ygc26dh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bhlrcaa8be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Periodicidad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_obhlrcaa8bem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39psabgktcj8">
            <w:r w:rsidDel="00000000" w:rsidR="00000000" w:rsidRPr="00000000">
              <w:rPr>
                <w:rtl w:val="0"/>
              </w:rPr>
              <w:t xml:space="preserve">Herramientas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_39psabgktcj8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25.511811023624"/>
            </w:tabs>
            <w:spacing w:before="60" w:line="240" w:lineRule="auto"/>
            <w:ind w:left="360" w:firstLine="0"/>
            <w:rPr/>
          </w:pPr>
          <w:hyperlink w:anchor="_8tsh81abe6vu">
            <w:r w:rsidDel="00000000" w:rsidR="00000000" w:rsidRPr="00000000">
              <w:rPr>
                <w:rtl w:val="0"/>
              </w:rPr>
              <w:t xml:space="preserve">Insumos y repuestos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_8tsh81abe6vu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xwbdqcazyw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 chequeo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_gxwbdqcazywm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umyiqnxl0l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LIMPIEZA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_4umyiqnxl0lw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zylo09g2y0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PRECAUCIONES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_ozylo09g2y04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9qjgcqrd0r4f">
            <w:r w:rsidDel="00000000" w:rsidR="00000000" w:rsidRPr="00000000">
              <w:rPr>
                <w:b w:val="1"/>
                <w:rtl w:val="0"/>
              </w:rPr>
              <w:t xml:space="preserve">MEDIDAS A TOMAR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_9qjgcqrd0r4f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pos="9025.51181102362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j5bjvpvhx9b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BIBLIOGRAFÍA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_oj5bjvpvhx9b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bookmarkStart w:colFirst="0" w:colLast="0" w:name="_ydd89ctyd2p3" w:id="0"/>
      <w:bookmarkEnd w:id="0"/>
      <w:r w:rsidDel="00000000" w:rsidR="00000000" w:rsidRPr="00000000">
        <w:rPr>
          <w:b w:val="1"/>
          <w:color w:val="000000"/>
          <w:rtl w:val="0"/>
        </w:rPr>
        <w:t xml:space="preserve">INTRODUCCIÓN Y DESCRIPCIÓN </w:t>
      </w:r>
    </w:p>
    <w:p w:rsidR="00000000" w:rsidDel="00000000" w:rsidP="00000000" w:rsidRDefault="00000000" w:rsidRPr="00000000" w14:paraId="0000002C">
      <w:pPr>
        <w:pStyle w:val="Heading4"/>
        <w:numPr>
          <w:ilvl w:val="1"/>
          <w:numId w:val="1"/>
        </w:numPr>
        <w:spacing w:before="0" w:beforeAutospacing="0"/>
        <w:ind w:left="1440" w:hanging="360"/>
        <w:jc w:val="both"/>
        <w:rPr>
          <w:color w:val="000000"/>
        </w:rPr>
      </w:pPr>
      <w:bookmarkStart w:colFirst="0" w:colLast="0" w:name="_lp2os35fu4g2" w:id="1"/>
      <w:bookmarkEnd w:id="1"/>
      <w:r w:rsidDel="00000000" w:rsidR="00000000" w:rsidRPr="00000000">
        <w:rPr>
          <w:b w:val="1"/>
          <w:color w:val="000000"/>
          <w:rtl w:val="0"/>
        </w:rPr>
        <w:t xml:space="preserve">Indicación de uso</w:t>
      </w:r>
    </w:p>
    <w:p w:rsidR="00000000" w:rsidDel="00000000" w:rsidP="00000000" w:rsidRDefault="00000000" w:rsidRPr="00000000" w14:paraId="0000002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numPr>
          <w:ilvl w:val="1"/>
          <w:numId w:val="1"/>
        </w:numPr>
        <w:ind w:left="1440" w:hanging="360"/>
        <w:rPr>
          <w:color w:val="000000"/>
        </w:rPr>
      </w:pPr>
      <w:bookmarkStart w:colFirst="0" w:colLast="0" w:name="_qwriissydhh" w:id="2"/>
      <w:bookmarkEnd w:id="2"/>
      <w:r w:rsidDel="00000000" w:rsidR="00000000" w:rsidRPr="00000000">
        <w:rPr>
          <w:b w:val="1"/>
          <w:color w:val="000000"/>
          <w:rtl w:val="0"/>
        </w:rPr>
        <w:t xml:space="preserve">Funcionamiento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Fig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numPr>
          <w:ilvl w:val="0"/>
          <w:numId w:val="1"/>
        </w:numPr>
        <w:spacing w:after="0" w:afterAutospacing="0" w:line="240" w:lineRule="auto"/>
        <w:ind w:left="720" w:hanging="360"/>
        <w:rPr>
          <w:b w:val="1"/>
        </w:rPr>
      </w:pPr>
      <w:bookmarkStart w:colFirst="0" w:colLast="0" w:name="_a4eooqtw7tn8" w:id="3"/>
      <w:bookmarkEnd w:id="3"/>
      <w:r w:rsidDel="00000000" w:rsidR="00000000" w:rsidRPr="00000000">
        <w:rPr>
          <w:b w:val="1"/>
          <w:color w:val="000000"/>
          <w:rtl w:val="0"/>
        </w:rPr>
        <w:t xml:space="preserve">TEST DE INSPECCIÓN</w:t>
      </w:r>
    </w:p>
    <w:p w:rsidR="00000000" w:rsidDel="00000000" w:rsidP="00000000" w:rsidRDefault="00000000" w:rsidRPr="00000000" w14:paraId="00000033">
      <w:pPr>
        <w:pStyle w:val="Heading4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/>
      </w:pPr>
      <w:bookmarkStart w:colFirst="0" w:colLast="0" w:name="_bfujke5prmzy" w:id="4"/>
      <w:bookmarkEnd w:id="4"/>
      <w:r w:rsidDel="00000000" w:rsidR="00000000" w:rsidRPr="00000000">
        <w:rPr>
          <w:b w:val="1"/>
          <w:color w:val="000000"/>
          <w:rtl w:val="0"/>
        </w:rPr>
        <w:t xml:space="preserve">Inspección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jc w:val="both"/>
        <w:rPr/>
      </w:pPr>
      <w:r w:rsidDel="00000000" w:rsidR="00000000" w:rsidRPr="00000000">
        <w:rPr>
          <w:rtl w:val="0"/>
        </w:rPr>
        <w:t xml:space="preserve">Examinar el exterior del equipo, la limpieza y las condiciones físicas generales. Estar seguro que  la carcasa esté intacta, que todos los accesorios estén presentes y firmes, y que no haya señales de líquidos derramados u otros incidentes serios.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highlight w:val="white"/>
          <w:rtl w:val="0"/>
        </w:rPr>
        <w:t xml:space="preserve">Inspeccionar el cable de red eléctrica por si existe la posibilidad de daños. Si el cable está dañado reemplazarlo  por uno nuevo.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afterAutospacing="0"/>
        <w:ind w:left="216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Durante el curso de la inspección confirmar el funcionamiento de todas las luces, indicadores, medidores y displays de visualización de la unidad. Compruebe las alarmas del equipo, verificando que sean audibles y se activen cuando estén fuera del rango normal.</w:t>
      </w:r>
    </w:p>
    <w:p w:rsidR="00000000" w:rsidDel="00000000" w:rsidP="00000000" w:rsidRDefault="00000000" w:rsidRPr="00000000" w14:paraId="00000037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  <w:rPr>
          <w:color w:val="000000"/>
        </w:rPr>
      </w:pPr>
      <w:bookmarkStart w:colFirst="0" w:colLast="0" w:name="_mz013zyljdzi" w:id="5"/>
      <w:bookmarkEnd w:id="5"/>
      <w:r w:rsidDel="00000000" w:rsidR="00000000" w:rsidRPr="00000000">
        <w:rPr>
          <w:b w:val="1"/>
          <w:color w:val="000000"/>
          <w:rtl w:val="0"/>
        </w:rPr>
        <w:t xml:space="preserve">Funcionalidad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  <w:rPr>
          <w:color w:val="000000"/>
        </w:rPr>
      </w:pPr>
      <w:bookmarkStart w:colFirst="0" w:colLast="0" w:name="_qxqi6ygc26dh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Etiqueta de mantenimiento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Revise que todas las placas, etiquetas y tarjetas de instrucción estén presentes y legibles.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</w:pPr>
      <w:bookmarkStart w:colFirst="0" w:colLast="0" w:name="_obhlrcaa8bem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Periodicidad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Inspección semestral.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  <w:rPr>
          <w:color w:val="000000"/>
        </w:rPr>
      </w:pPr>
      <w:bookmarkStart w:colFirst="0" w:colLast="0" w:name="_39psabgktcj8" w:id="8"/>
      <w:bookmarkEnd w:id="8"/>
      <w:r w:rsidDel="00000000" w:rsidR="00000000" w:rsidRPr="00000000">
        <w:rPr>
          <w:b w:val="1"/>
          <w:color w:val="000000"/>
          <w:rtl w:val="0"/>
        </w:rPr>
        <w:t xml:space="preserve">Herramientas.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  <w:rPr>
          <w:color w:val="000000"/>
        </w:rPr>
      </w:pPr>
      <w:bookmarkStart w:colFirst="0" w:colLast="0" w:name="_8tsh81abe6vu" w:id="9"/>
      <w:bookmarkEnd w:id="9"/>
      <w:r w:rsidDel="00000000" w:rsidR="00000000" w:rsidRPr="00000000">
        <w:rPr>
          <w:b w:val="1"/>
          <w:color w:val="000000"/>
          <w:rtl w:val="0"/>
        </w:rPr>
        <w:t xml:space="preserve">Insumos y repuestos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4"/>
        <w:numPr>
          <w:ilvl w:val="1"/>
          <w:numId w:val="1"/>
        </w:numPr>
        <w:spacing w:after="0" w:afterAutospacing="0" w:before="0" w:beforeAutospacing="0"/>
        <w:ind w:left="1440" w:hanging="360"/>
        <w:rPr>
          <w:color w:val="000000"/>
        </w:rPr>
      </w:pPr>
      <w:bookmarkStart w:colFirst="0" w:colLast="0" w:name="_gxwbdqcazywm" w:id="10"/>
      <w:bookmarkEnd w:id="10"/>
      <w:r w:rsidDel="00000000" w:rsidR="00000000" w:rsidRPr="00000000">
        <w:rPr>
          <w:b w:val="1"/>
          <w:color w:val="000000"/>
          <w:rtl w:val="0"/>
        </w:rPr>
        <w:t xml:space="preserve"> Lista de chequeo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line="240" w:lineRule="auto"/>
        <w:ind w:left="2160" w:hanging="360"/>
        <w:jc w:val="both"/>
        <w:rPr/>
      </w:pPr>
      <w:r w:rsidDel="00000000" w:rsidR="00000000" w:rsidRPr="00000000">
        <w:rPr>
          <w:rtl w:val="0"/>
        </w:rPr>
        <w:t xml:space="preserve">El mantenimiento preventivo se realiza siguiendo unos parámetros los cuales se encuentran establecidos en la lista de chequeo que se encuentra en el programa de Conecta.</w:t>
      </w:r>
    </w:p>
    <w:p w:rsidR="00000000" w:rsidDel="00000000" w:rsidP="00000000" w:rsidRDefault="00000000" w:rsidRPr="00000000" w14:paraId="00000043">
      <w:pPr>
        <w:pStyle w:val="Heading3"/>
        <w:numPr>
          <w:ilvl w:val="0"/>
          <w:numId w:val="1"/>
        </w:numPr>
        <w:spacing w:before="0" w:beforeAutospacing="0"/>
        <w:ind w:left="720" w:hanging="360"/>
        <w:rPr>
          <w:b w:val="1"/>
        </w:rPr>
      </w:pPr>
      <w:bookmarkStart w:colFirst="0" w:colLast="0" w:name="_4umyiqnxl0lw" w:id="11"/>
      <w:bookmarkEnd w:id="11"/>
      <w:r w:rsidDel="00000000" w:rsidR="00000000" w:rsidRPr="00000000">
        <w:rPr>
          <w:b w:val="1"/>
          <w:color w:val="000000"/>
          <w:rtl w:val="0"/>
        </w:rPr>
        <w:t xml:space="preserve">LIMPIEZA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Limpie el equipo con un paño suave humedecido en solución de alcohol isopropílico, detergente no abrasivo, o solución de agua y lejía al 10% (hipoclorito de sodio al 5,25 %). No vierta ni rocíe ningún líquido; tampoco deje que ningún líquido penetre en las aberturas del dispositivo. Deje que la unidad se seque completamente antes de volver a utilizarla.</w:t>
      </w:r>
    </w:p>
    <w:p w:rsidR="00000000" w:rsidDel="00000000" w:rsidP="00000000" w:rsidRDefault="00000000" w:rsidRPr="00000000" w14:paraId="00000045">
      <w:pPr>
        <w:pStyle w:val="Heading3"/>
        <w:numPr>
          <w:ilvl w:val="0"/>
          <w:numId w:val="1"/>
        </w:numPr>
        <w:spacing w:after="0" w:afterAutospacing="0"/>
        <w:ind w:left="720" w:hanging="360"/>
        <w:rPr/>
      </w:pPr>
      <w:bookmarkStart w:colFirst="0" w:colLast="0" w:name="_ozylo09g2y04" w:id="12"/>
      <w:bookmarkEnd w:id="12"/>
      <w:r w:rsidDel="00000000" w:rsidR="00000000" w:rsidRPr="00000000">
        <w:rPr>
          <w:b w:val="1"/>
          <w:color w:val="000000"/>
          <w:rtl w:val="0"/>
        </w:rPr>
        <w:t xml:space="preserve">PRECAUCIONES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Asegúrese de que el instrumento está conectado a una fuente de alimentación adecuada en términos de tensión, fase y capacidad.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Utilice una fuente de alimentación con conexión a tierra.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No utilice nunca una toma de corriente bifurcada, ni una toma de corriente de doble rosca.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El incumplimiento de una advertencia de seguridad provocará una caída de la tensión de la línea, lo que provocará una pérdida de potencia y causará riesgo de incendio al girar el cable.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No manipule ni toque los códigos y dispositivos eléctricos con las manos mojadas.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jc w:val="both"/>
        <w:rPr>
          <w:b w:val="0"/>
        </w:rPr>
      </w:pPr>
      <w:r w:rsidDel="00000000" w:rsidR="00000000" w:rsidRPr="00000000">
        <w:rPr>
          <w:rtl w:val="0"/>
        </w:rPr>
        <w:t xml:space="preserve">Una alimentación incorrecta puede causar graves daños al instrumento y al cuerpo; incluso la muerte.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numPr>
          <w:ilvl w:val="0"/>
          <w:numId w:val="1"/>
        </w:numPr>
        <w:spacing w:after="0" w:afterAutospacing="0" w:before="0" w:beforeAutospacing="0"/>
        <w:ind w:left="720" w:hanging="360"/>
        <w:rPr/>
      </w:pPr>
      <w:bookmarkStart w:colFirst="0" w:colLast="0" w:name="_9qjgcqrd0r4f" w:id="13"/>
      <w:bookmarkEnd w:id="13"/>
      <w:r w:rsidDel="00000000" w:rsidR="00000000" w:rsidRPr="00000000">
        <w:rPr>
          <w:b w:val="1"/>
          <w:color w:val="000000"/>
          <w:rtl w:val="0"/>
        </w:rPr>
        <w:t xml:space="preserve">MEDIDAS A TOMAR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Programe con el servicio  donde corresponde el equipo o reserve el equipo con anterioridad para realizar el mantenimiento.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Comunique el retiro del equipo para mantenimiento, al servicio donde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numPr>
          <w:ilvl w:val="0"/>
          <w:numId w:val="1"/>
        </w:numPr>
        <w:spacing w:before="0" w:beforeAutospacing="0"/>
        <w:ind w:left="720" w:hanging="360"/>
        <w:rPr/>
      </w:pPr>
      <w:bookmarkStart w:colFirst="0" w:colLast="0" w:name="_oj5bjvpvhx9b" w:id="14"/>
      <w:bookmarkEnd w:id="14"/>
      <w:r w:rsidDel="00000000" w:rsidR="00000000" w:rsidRPr="00000000">
        <w:rPr>
          <w:b w:val="1"/>
          <w:color w:val="000000"/>
          <w:rtl w:val="0"/>
        </w:rPr>
        <w:t xml:space="preserve">BIBLIOGRAFÍA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ab/>
        <w:t xml:space="preserve">Manual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.0000000000001" w:footer="720.0000000000001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>
        <w:b w:val="1"/>
      </w:rPr>
    </w:pPr>
    <w:r w:rsidDel="00000000" w:rsidR="00000000" w:rsidRPr="00000000">
      <w:rPr>
        <w:b w:val="1"/>
        <w:rtl w:val="0"/>
      </w:rPr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66676</wp:posOffset>
          </wp:positionV>
          <wp:extent cx="2405063" cy="7048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5063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5220.0" w:type="dxa"/>
      <w:jc w:val="left"/>
      <w:tblInd w:w="402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95"/>
      <w:gridCol w:w="4725"/>
      <w:tblGridChange w:id="0">
        <w:tblGrid>
          <w:gridCol w:w="495"/>
          <w:gridCol w:w="4725"/>
        </w:tblGrid>
      </w:tblGridChange>
    </w:tblGrid>
    <w:tr>
      <w:trPr>
        <w:cantSplit w:val="0"/>
        <w:trHeight w:val="49.98046875" w:hRule="atLeast"/>
        <w:tblHeader w:val="0"/>
      </w:trPr>
      <w:tc>
        <w:tcPr>
          <w:tcBorders>
            <w:top w:color="005eb8" w:space="0" w:sz="8" w:val="single"/>
            <w:left w:color="005eb8" w:space="0" w:sz="8" w:val="single"/>
            <w:bottom w:color="005eb8" w:space="0" w:sz="8" w:val="single"/>
            <w:right w:color="005eb8" w:space="0" w:sz="8" w:val="single"/>
          </w:tcBorders>
          <w:shd w:fill="005eb8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8">
          <w:pPr>
            <w:widowControl w:val="0"/>
            <w:spacing w:line="240" w:lineRule="auto"/>
            <w:jc w:val="center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549f" w:space="0" w:sz="8" w:val="single"/>
            <w:left w:color="005eb8" w:space="0" w:sz="8" w:val="single"/>
            <w:bottom w:color="00549f" w:space="0" w:sz="8" w:val="single"/>
            <w:right w:color="00549f" w:space="0" w:sz="8" w:val="single"/>
          </w:tcBorders>
          <w:shd w:fill="00549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9">
          <w:pPr>
            <w:widowControl w:val="0"/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PROTOCOLO DE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5eb8" w:space="0" w:sz="8" w:val="single"/>
            <w:left w:color="7ab800" w:space="0" w:sz="8" w:val="single"/>
            <w:bottom w:color="7ab800" w:space="0" w:sz="8" w:val="single"/>
            <w:right w:color="7ab800" w:space="0" w:sz="8" w:val="single"/>
          </w:tcBorders>
          <w:shd w:fill="7ab800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A">
          <w:pPr>
            <w:widowControl w:val="0"/>
            <w:spacing w:line="240" w:lineRule="auto"/>
            <w:jc w:val="center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549f" w:space="0" w:sz="8" w:val="single"/>
            <w:left w:color="7ab800" w:space="0" w:sz="8" w:val="single"/>
            <w:bottom w:color="00549f" w:space="0" w:sz="8" w:val="single"/>
            <w:right w:color="00549f" w:space="0" w:sz="8" w:val="single"/>
          </w:tcBorders>
          <w:shd w:fill="00549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B">
          <w:pPr>
            <w:widowControl w:val="0"/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MANTENIMIENTO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rPr>
        <w:b w:val="1"/>
      </w:rPr>
    </w:pPr>
    <w:r w:rsidDel="00000000" w:rsidR="00000000" w:rsidRPr="00000000">
      <w:rPr>
        <w:b w:val="1"/>
        <w:rtl w:val="0"/>
      </w:rPr>
      <w:tab/>
      <w:tab/>
      <w:tab/>
      <w:tab/>
      <w:tab/>
      <w:tab/>
      <w:tab/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05063" cy="7048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5063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5220.0" w:type="dxa"/>
      <w:jc w:val="left"/>
      <w:tblInd w:w="402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95"/>
      <w:gridCol w:w="4725"/>
      <w:tblGridChange w:id="0">
        <w:tblGrid>
          <w:gridCol w:w="495"/>
          <w:gridCol w:w="4725"/>
        </w:tblGrid>
      </w:tblGridChange>
    </w:tblGrid>
    <w:tr>
      <w:trPr>
        <w:cantSplit w:val="0"/>
        <w:trHeight w:val="229.98046875" w:hRule="atLeast"/>
        <w:tblHeader w:val="0"/>
      </w:trPr>
      <w:tc>
        <w:tcPr>
          <w:tcBorders>
            <w:top w:color="005eb8" w:space="0" w:sz="8" w:val="single"/>
            <w:left w:color="005eb8" w:space="0" w:sz="8" w:val="single"/>
            <w:bottom w:color="005eb8" w:space="0" w:sz="8" w:val="single"/>
            <w:right w:color="005eb8" w:space="0" w:sz="8" w:val="single"/>
          </w:tcBorders>
          <w:shd w:fill="005eb8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E">
          <w:pPr>
            <w:widowControl w:val="0"/>
            <w:spacing w:line="240" w:lineRule="auto"/>
            <w:jc w:val="center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549f" w:space="0" w:sz="8" w:val="single"/>
            <w:left w:color="005eb8" w:space="0" w:sz="8" w:val="single"/>
            <w:bottom w:color="00549f" w:space="0" w:sz="8" w:val="single"/>
            <w:right w:color="00549f" w:space="0" w:sz="8" w:val="single"/>
          </w:tcBorders>
          <w:shd w:fill="00549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widowControl w:val="0"/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PROTOCOLO DE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9.98046875" w:hRule="atLeast"/>
        <w:tblHeader w:val="0"/>
      </w:trPr>
      <w:tc>
        <w:tcPr>
          <w:tcBorders>
            <w:top w:color="005eb8" w:space="0" w:sz="8" w:val="single"/>
            <w:left w:color="7ab800" w:space="0" w:sz="8" w:val="single"/>
            <w:bottom w:color="7ab800" w:space="0" w:sz="8" w:val="single"/>
            <w:right w:color="7ab800" w:space="0" w:sz="8" w:val="single"/>
          </w:tcBorders>
          <w:shd w:fill="7ab800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widowControl w:val="0"/>
            <w:spacing w:line="240" w:lineRule="auto"/>
            <w:jc w:val="center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549f" w:space="0" w:sz="8" w:val="single"/>
            <w:left w:color="7ab800" w:space="0" w:sz="8" w:val="single"/>
            <w:bottom w:color="00549f" w:space="0" w:sz="8" w:val="single"/>
            <w:right w:color="00549f" w:space="0" w:sz="8" w:val="single"/>
          </w:tcBorders>
          <w:shd w:fill="00549f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1">
          <w:pPr>
            <w:widowControl w:val="0"/>
            <w:spacing w:line="240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MANTENIMIENTO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rPr>
        <w:b w:val="1"/>
      </w:rPr>
    </w:pPr>
    <w:r w:rsidDel="00000000" w:rsidR="00000000" w:rsidRPr="00000000">
      <w:rPr>
        <w:b w:val="1"/>
        <w:rtl w:val="0"/>
      </w:rPr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○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■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