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spacing w:after="0" w:before="42" w:line="240" w:lineRule="auto"/>
        <w:jc w:val="center"/>
        <w:rPr>
          <w:rFonts w:ascii="Arial" w:cs="Arial" w:eastAsia="Arial" w:hAnsi="Arial"/>
          <w:b w:val="1"/>
          <w:sz w:val="17"/>
          <w:szCs w:val="17"/>
        </w:rPr>
      </w:pPr>
      <w:r w:rsidDel="00000000" w:rsidR="00000000" w:rsidRPr="00000000">
        <w:rPr>
          <w:rFonts w:ascii="Arial" w:cs="Arial" w:eastAsia="Arial" w:hAnsi="Arial"/>
          <w:b w:val="1"/>
          <w:sz w:val="23"/>
          <w:szCs w:val="23"/>
          <w:rtl w:val="0"/>
        </w:rPr>
        <w:t xml:space="preserve">PROTOCOLO </w:t>
      </w:r>
      <w:r w:rsidDel="00000000" w:rsidR="00000000" w:rsidRPr="00000000">
        <w:rPr>
          <w:rFonts w:ascii="Arial" w:cs="Arial" w:eastAsia="Arial" w:hAnsi="Arial"/>
          <w:b w:val="1"/>
          <w:sz w:val="23"/>
          <w:szCs w:val="23"/>
          <w:rtl w:val="0"/>
        </w:rPr>
        <w:t xml:space="preserve">DE ENFERMERÍA PARA LA PREVENCIÓN Y CUIDADOS DE LA FLEBITIS ASOCIADA AL CATÉTER INTRAVASCULAR PERIFÉRICO</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  OBJETIVO</w:t>
      </w:r>
    </w:p>
    <w:p w:rsidR="00000000" w:rsidDel="00000000" w:rsidP="00000000" w:rsidRDefault="00000000" w:rsidRPr="00000000" w14:paraId="00000005">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Prevenir las flebitis asociadas a catéter Intravascular periférico, para la disminución de la morbilidad generada por esta. Esta guía contribuye con la seguridad del paciente.</w:t>
      </w:r>
    </w:p>
    <w:p w:rsidR="00000000" w:rsidDel="00000000" w:rsidP="00000000" w:rsidRDefault="00000000" w:rsidRPr="00000000" w14:paraId="00000006">
      <w:pPr>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 RESPONSABLE</w:t>
      </w:r>
    </w:p>
    <w:p w:rsidR="00000000" w:rsidDel="00000000" w:rsidP="00000000" w:rsidRDefault="00000000" w:rsidRPr="00000000" w14:paraId="0000000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Este procedimiento debe ser realizado por auxiliar de Enfermería.</w:t>
      </w:r>
    </w:p>
    <w:p w:rsidR="00000000" w:rsidDel="00000000" w:rsidP="00000000" w:rsidRDefault="00000000" w:rsidRPr="00000000" w14:paraId="00000008">
      <w:pPr>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3. ÁREA PARA REALIZAR EL PROCEDIMIENTO</w:t>
      </w:r>
    </w:p>
    <w:p w:rsidR="00000000" w:rsidDel="00000000" w:rsidP="00000000" w:rsidRDefault="00000000" w:rsidRPr="00000000" w14:paraId="00000009">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Este procedimiento se realiza en el cubículo del paciente.</w:t>
      </w:r>
    </w:p>
    <w:p w:rsidR="00000000" w:rsidDel="00000000" w:rsidP="00000000" w:rsidRDefault="00000000" w:rsidRPr="00000000" w14:paraId="0000000A">
      <w:pPr>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4. ELEMENTOS DE PROTECCIÓN PERSONAL</w:t>
      </w:r>
    </w:p>
    <w:p w:rsidR="00000000" w:rsidDel="00000000" w:rsidP="00000000" w:rsidRDefault="00000000" w:rsidRPr="00000000" w14:paraId="0000000B">
      <w:pPr>
        <w:numPr>
          <w:ilvl w:val="0"/>
          <w:numId w:val="9"/>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Gafas de protección (cuando sea necesario)</w:t>
      </w:r>
    </w:p>
    <w:p w:rsidR="00000000" w:rsidDel="00000000" w:rsidP="00000000" w:rsidRDefault="00000000" w:rsidRPr="00000000" w14:paraId="0000000C">
      <w:pPr>
        <w:numPr>
          <w:ilvl w:val="0"/>
          <w:numId w:val="9"/>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Guantes</w:t>
      </w:r>
    </w:p>
    <w:p w:rsidR="00000000" w:rsidDel="00000000" w:rsidP="00000000" w:rsidRDefault="00000000" w:rsidRPr="00000000" w14:paraId="0000000D">
      <w:pPr>
        <w:numPr>
          <w:ilvl w:val="0"/>
          <w:numId w:val="9"/>
        </w:numPr>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 Traje de protección (Bata, pantalón, gorro, polainas)</w:t>
      </w:r>
    </w:p>
    <w:p w:rsidR="00000000" w:rsidDel="00000000" w:rsidP="00000000" w:rsidRDefault="00000000" w:rsidRPr="00000000" w14:paraId="0000000E">
      <w:pPr>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5. PRECAUCIONES</w:t>
      </w:r>
    </w:p>
    <w:p w:rsidR="00000000" w:rsidDel="00000000" w:rsidP="00000000" w:rsidRDefault="00000000" w:rsidRPr="00000000" w14:paraId="0000000F">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 Revisar siempre las agujas o catéteres que se van a usar para detectar a tiempo cualquier imperfección.</w:t>
      </w:r>
    </w:p>
    <w:p w:rsidR="00000000" w:rsidDel="00000000" w:rsidP="00000000" w:rsidRDefault="00000000" w:rsidRPr="00000000" w14:paraId="00000010">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Seleccionar el calibre del catéter adecuado teniendo en cuenta tipo de paciente, edad y vena a utilizar.</w:t>
      </w:r>
    </w:p>
    <w:p w:rsidR="00000000" w:rsidDel="00000000" w:rsidP="00000000" w:rsidRDefault="00000000" w:rsidRPr="00000000" w14:paraId="00000011">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 No intentar la punción en la vena más de dos veces ya sea por falta de experiencia, estado del paciente o de la vena.</w:t>
      </w:r>
    </w:p>
    <w:p w:rsidR="00000000" w:rsidDel="00000000" w:rsidP="00000000" w:rsidRDefault="00000000" w:rsidRPr="00000000" w14:paraId="00000012">
      <w:pPr>
        <w:numPr>
          <w:ilvl w:val="0"/>
          <w:numId w:val="5"/>
        </w:numPr>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Solicitar ayuda a otra persona.</w:t>
      </w:r>
    </w:p>
    <w:p w:rsidR="00000000" w:rsidDel="00000000" w:rsidP="00000000" w:rsidRDefault="00000000" w:rsidRPr="00000000" w14:paraId="00000013">
      <w:pPr>
        <w:ind w:left="0" w:firstLine="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6. MATERIAL NECESARIO</w:t>
      </w:r>
    </w:p>
    <w:p w:rsidR="00000000" w:rsidDel="00000000" w:rsidP="00000000" w:rsidRDefault="00000000" w:rsidRPr="00000000" w14:paraId="00000014">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Guantes limpios</w:t>
      </w:r>
    </w:p>
    <w:p w:rsidR="00000000" w:rsidDel="00000000" w:rsidP="00000000" w:rsidRDefault="00000000" w:rsidRPr="00000000" w14:paraId="00000015">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Catéter periférico</w:t>
      </w:r>
    </w:p>
    <w:p w:rsidR="00000000" w:rsidDel="00000000" w:rsidP="00000000" w:rsidRDefault="00000000" w:rsidRPr="00000000" w14:paraId="00000016">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Equipo macrogotero</w:t>
      </w:r>
    </w:p>
    <w:p w:rsidR="00000000" w:rsidDel="00000000" w:rsidP="00000000" w:rsidRDefault="00000000" w:rsidRPr="00000000" w14:paraId="00000017">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Guardián</w:t>
      </w:r>
    </w:p>
    <w:p w:rsidR="00000000" w:rsidDel="00000000" w:rsidP="00000000" w:rsidRDefault="00000000" w:rsidRPr="00000000" w14:paraId="00000018">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Líquidos endovenosos o medicamentos ordenados</w:t>
      </w:r>
    </w:p>
    <w:p w:rsidR="00000000" w:rsidDel="00000000" w:rsidP="00000000" w:rsidRDefault="00000000" w:rsidRPr="00000000" w14:paraId="00000019">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Microporo / Tegaderm</w:t>
      </w:r>
    </w:p>
    <w:p w:rsidR="00000000" w:rsidDel="00000000" w:rsidP="00000000" w:rsidRDefault="00000000" w:rsidRPr="00000000" w14:paraId="0000001A">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Alcohol</w:t>
      </w:r>
    </w:p>
    <w:p w:rsidR="00000000" w:rsidDel="00000000" w:rsidP="00000000" w:rsidRDefault="00000000" w:rsidRPr="00000000" w14:paraId="0000001B">
      <w:pPr>
        <w:numPr>
          <w:ilvl w:val="0"/>
          <w:numId w:val="5"/>
        </w:numPr>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Venopunción</w:t>
      </w:r>
    </w:p>
    <w:p w:rsidR="00000000" w:rsidDel="00000000" w:rsidP="00000000" w:rsidRDefault="00000000" w:rsidRPr="00000000" w14:paraId="0000001C">
      <w:pPr>
        <w:ind w:left="0" w:firstLine="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Modo de seleccionar la aguja adecuada</w:t>
      </w:r>
    </w:p>
    <w:p w:rsidR="00000000" w:rsidDel="00000000" w:rsidP="00000000" w:rsidRDefault="00000000" w:rsidRPr="00000000" w14:paraId="0000001D">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El calibre de agujas Nº 24 es especial y adecuado para niños lactantes y adultos con venas demasiado pequeñas.</w:t>
      </w:r>
    </w:p>
    <w:p w:rsidR="00000000" w:rsidDel="00000000" w:rsidP="00000000" w:rsidRDefault="00000000" w:rsidRPr="00000000" w14:paraId="0000001E">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Los calibre No 20 – 22, para pacientes no quirúrgicos.</w:t>
      </w:r>
    </w:p>
    <w:p w:rsidR="00000000" w:rsidDel="00000000" w:rsidP="00000000" w:rsidRDefault="00000000" w:rsidRPr="00000000" w14:paraId="0000001F">
      <w:pPr>
        <w:numPr>
          <w:ilvl w:val="0"/>
          <w:numId w:val="5"/>
        </w:numPr>
        <w:spacing w:after="0" w:afterAutospacing="0"/>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El calibre No 18 es adecuado para pacientes quirúrgicos o urgentes.</w:t>
      </w:r>
    </w:p>
    <w:p w:rsidR="00000000" w:rsidDel="00000000" w:rsidP="00000000" w:rsidRDefault="00000000" w:rsidRPr="00000000" w14:paraId="00000020">
      <w:pPr>
        <w:numPr>
          <w:ilvl w:val="0"/>
          <w:numId w:val="5"/>
        </w:numPr>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Torniquete</w:t>
      </w:r>
    </w:p>
    <w:p w:rsidR="00000000" w:rsidDel="00000000" w:rsidP="00000000" w:rsidRDefault="00000000" w:rsidRPr="00000000" w14:paraId="00000021">
      <w:pPr>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7. POBLACIÓN OBJETO</w:t>
      </w:r>
    </w:p>
    <w:p w:rsidR="00000000" w:rsidDel="00000000" w:rsidP="00000000" w:rsidRDefault="00000000" w:rsidRPr="00000000" w14:paraId="00000023">
      <w:pPr>
        <w:rPr>
          <w:rFonts w:ascii="Arial" w:cs="Arial" w:eastAsia="Arial" w:hAnsi="Arial"/>
          <w:sz w:val="24"/>
          <w:szCs w:val="24"/>
        </w:rPr>
      </w:pPr>
      <w:r w:rsidDel="00000000" w:rsidR="00000000" w:rsidRPr="00000000">
        <w:rPr>
          <w:rFonts w:ascii="Arial" w:cs="Arial" w:eastAsia="Arial" w:hAnsi="Arial"/>
          <w:sz w:val="24"/>
          <w:szCs w:val="24"/>
          <w:rtl w:val="0"/>
        </w:rPr>
        <w:t xml:space="preserve">Aplica para todos los pacientes en quienes se instale vía venosa periférica.</w:t>
      </w:r>
    </w:p>
    <w:p w:rsidR="00000000" w:rsidDel="00000000" w:rsidP="00000000" w:rsidRDefault="00000000" w:rsidRPr="00000000" w14:paraId="00000024">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8. ALCANCE</w:t>
      </w:r>
    </w:p>
    <w:p w:rsidR="00000000" w:rsidDel="00000000" w:rsidP="00000000" w:rsidRDefault="00000000" w:rsidRPr="00000000" w14:paraId="00000025">
      <w:pPr>
        <w:rPr>
          <w:rFonts w:ascii="Arial" w:cs="Arial" w:eastAsia="Arial" w:hAnsi="Arial"/>
          <w:sz w:val="24"/>
          <w:szCs w:val="24"/>
        </w:rPr>
      </w:pPr>
      <w:r w:rsidDel="00000000" w:rsidR="00000000" w:rsidRPr="00000000">
        <w:rPr>
          <w:rFonts w:ascii="Arial" w:cs="Arial" w:eastAsia="Arial" w:hAnsi="Arial"/>
          <w:sz w:val="24"/>
          <w:szCs w:val="24"/>
          <w:rtl w:val="0"/>
        </w:rPr>
        <w:t xml:space="preserve">Aplica para los servicios de la ESE Hospital San Rafael: urgencias, hospitalización adultos y pediatría, sala de Partos, ayudas diagnósticas.</w:t>
      </w:r>
    </w:p>
    <w:p w:rsidR="00000000" w:rsidDel="00000000" w:rsidP="00000000" w:rsidRDefault="00000000" w:rsidRPr="00000000" w14:paraId="00000026">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9.  DEFINICIONES</w:t>
      </w:r>
    </w:p>
    <w:p w:rsidR="00000000" w:rsidDel="00000000" w:rsidP="00000000" w:rsidRDefault="00000000" w:rsidRPr="00000000" w14:paraId="00000027">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Flebitis:</w:t>
      </w:r>
      <w:r w:rsidDel="00000000" w:rsidR="00000000" w:rsidRPr="00000000">
        <w:rPr>
          <w:rFonts w:ascii="Arial" w:cs="Arial" w:eastAsia="Arial" w:hAnsi="Arial"/>
          <w:sz w:val="24"/>
          <w:szCs w:val="24"/>
          <w:rtl w:val="0"/>
        </w:rPr>
        <w:t xml:space="preserve"> inflamación de la vena, durante o después de la perfusión intravenosa. Dependiendo de la causa que la produce puede ser química, mecánica o bacteriana.</w:t>
      </w:r>
    </w:p>
    <w:p w:rsidR="00000000" w:rsidDel="00000000" w:rsidP="00000000" w:rsidRDefault="00000000" w:rsidRPr="00000000" w14:paraId="00000028">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Flebitis mecánica:</w:t>
      </w:r>
      <w:r w:rsidDel="00000000" w:rsidR="00000000" w:rsidRPr="00000000">
        <w:rPr>
          <w:rFonts w:ascii="Arial" w:cs="Arial" w:eastAsia="Arial" w:hAnsi="Arial"/>
          <w:sz w:val="24"/>
          <w:szCs w:val="24"/>
          <w:rtl w:val="0"/>
        </w:rPr>
        <w:t xml:space="preserve"> se define como la irritación de la intima de la vena, causada por el contacto con el material del catéter, inadecuada movilización o el área de punción en sitios de gran movimiento. Este tipo de flebitis se da de forma más aguda.</w:t>
      </w:r>
    </w:p>
    <w:p w:rsidR="00000000" w:rsidDel="00000000" w:rsidP="00000000" w:rsidRDefault="00000000" w:rsidRPr="00000000" w14:paraId="00000029">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Flebitis química:</w:t>
      </w:r>
      <w:r w:rsidDel="00000000" w:rsidR="00000000" w:rsidRPr="00000000">
        <w:rPr>
          <w:rFonts w:ascii="Arial" w:cs="Arial" w:eastAsia="Arial" w:hAnsi="Arial"/>
          <w:sz w:val="24"/>
          <w:szCs w:val="24"/>
          <w:rtl w:val="0"/>
        </w:rPr>
        <w:t xml:space="preserve"> se define como la irritación del endotelio vascular causado por el contacto con:</w:t>
      </w:r>
    </w:p>
    <w:p w:rsidR="00000000" w:rsidDel="00000000" w:rsidP="00000000" w:rsidRDefault="00000000" w:rsidRPr="00000000" w14:paraId="0000002A">
      <w:pPr>
        <w:widowControl w:val="0"/>
        <w:spacing w:after="0" w:before="8" w:line="240" w:lineRule="auto"/>
        <w:ind w:left="21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Quimioterapéuticos</w:t>
      </w:r>
    </w:p>
    <w:p w:rsidR="00000000" w:rsidDel="00000000" w:rsidP="00000000" w:rsidRDefault="00000000" w:rsidRPr="00000000" w14:paraId="0000002B">
      <w:pPr>
        <w:widowControl w:val="0"/>
        <w:spacing w:after="0" w:before="55" w:line="240" w:lineRule="auto"/>
        <w:ind w:left="21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Antibióticos</w:t>
      </w:r>
    </w:p>
    <w:p w:rsidR="00000000" w:rsidDel="00000000" w:rsidP="00000000" w:rsidRDefault="00000000" w:rsidRPr="00000000" w14:paraId="0000002C">
      <w:pPr>
        <w:widowControl w:val="0"/>
        <w:spacing w:after="0" w:before="55" w:line="240" w:lineRule="auto"/>
        <w:ind w:left="21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Medicamentos hiperosmolares</w:t>
      </w:r>
    </w:p>
    <w:p w:rsidR="00000000" w:rsidDel="00000000" w:rsidP="00000000" w:rsidRDefault="00000000" w:rsidRPr="00000000" w14:paraId="0000002D">
      <w:pPr>
        <w:widowControl w:val="0"/>
        <w:spacing w:after="0" w:before="55" w:line="240" w:lineRule="auto"/>
        <w:ind w:left="21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pH muy ácido o muy básico</w:t>
      </w:r>
    </w:p>
    <w:p w:rsidR="00000000" w:rsidDel="00000000" w:rsidP="00000000" w:rsidRDefault="00000000" w:rsidRPr="00000000" w14:paraId="0000002E">
      <w:pPr>
        <w:widowControl w:val="0"/>
        <w:spacing w:after="0" w:before="57" w:line="240" w:lineRule="auto"/>
        <w:ind w:left="21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Infusión continua</w:t>
      </w:r>
    </w:p>
    <w:p w:rsidR="00000000" w:rsidDel="00000000" w:rsidP="00000000" w:rsidRDefault="00000000" w:rsidRPr="00000000" w14:paraId="0000002F">
      <w:pPr>
        <w:widowControl w:val="0"/>
        <w:spacing w:after="0" w:before="52" w:line="238" w:lineRule="auto"/>
        <w:ind w:left="213" w:firstLine="0"/>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    Electrolitos</w:t>
      </w:r>
      <w:r w:rsidDel="00000000" w:rsidR="00000000" w:rsidRPr="00000000">
        <w:rPr>
          <w:rtl w:val="0"/>
        </w:rPr>
      </w:r>
    </w:p>
    <w:p w:rsidR="00000000" w:rsidDel="00000000" w:rsidP="00000000" w:rsidRDefault="00000000" w:rsidRPr="00000000" w14:paraId="00000030">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widowControl w:val="0"/>
        <w:spacing w:after="0" w:before="37" w:line="245" w:lineRule="auto"/>
        <w:ind w:left="213" w:right="499" w:firstLine="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Flebitis infecciosa:</w:t>
      </w:r>
      <w:r w:rsidDel="00000000" w:rsidR="00000000" w:rsidRPr="00000000">
        <w:rPr>
          <w:rFonts w:ascii="Arial" w:cs="Arial" w:eastAsia="Arial" w:hAnsi="Arial"/>
          <w:sz w:val="24"/>
          <w:szCs w:val="24"/>
          <w:rtl w:val="0"/>
        </w:rPr>
        <w:t xml:space="preserve"> se define como la inflamación causada por cualquier tipo de microorganismo cuando no se utiliza correctamente la técnica aséptica durante la venopunción o técnicas inapropiadas para su mantenimiento.</w:t>
      </w:r>
    </w:p>
    <w:p w:rsidR="00000000" w:rsidDel="00000000" w:rsidP="00000000" w:rsidRDefault="00000000" w:rsidRPr="00000000" w14:paraId="00000032">
      <w:pPr>
        <w:widowControl w:val="0"/>
        <w:spacing w:after="0" w:before="5"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4">
      <w:pPr>
        <w:widowControl w:val="0"/>
        <w:spacing w:after="0" w:line="240"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Clasificación de la  flebitis:</w:t>
      </w:r>
    </w:p>
    <w:p w:rsidR="00000000" w:rsidDel="00000000" w:rsidP="00000000" w:rsidRDefault="00000000" w:rsidRPr="00000000" w14:paraId="00000035">
      <w:pPr>
        <w:widowControl w:val="0"/>
        <w:spacing w:after="0" w:line="170" w:lineRule="auto"/>
        <w:jc w:val="center"/>
        <w:rPr>
          <w:rFonts w:ascii="Arial" w:cs="Arial" w:eastAsia="Arial" w:hAnsi="Arial"/>
          <w:sz w:val="24"/>
          <w:szCs w:val="24"/>
        </w:rPr>
      </w:pPr>
      <w:r w:rsidDel="00000000" w:rsidR="00000000" w:rsidRPr="00000000">
        <w:rPr>
          <w:rFonts w:ascii="Arial" w:cs="Arial" w:eastAsia="Arial" w:hAnsi="Arial"/>
          <w:sz w:val="24"/>
          <w:szCs w:val="24"/>
        </w:rPr>
        <w:drawing>
          <wp:inline distB="114300" distT="114300" distL="114300" distR="114300">
            <wp:extent cx="4400550" cy="2324100"/>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400550" cy="2324100"/>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widowControl w:val="0"/>
        <w:spacing w:after="0" w:before="5"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widowControl w:val="0"/>
        <w:spacing w:after="0" w:line="240"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10.  POSIBLES COMPLICACIONES</w:t>
      </w:r>
    </w:p>
    <w:p w:rsidR="00000000" w:rsidDel="00000000" w:rsidP="00000000" w:rsidRDefault="00000000" w:rsidRPr="00000000" w14:paraId="00000038">
      <w:pPr>
        <w:widowControl w:val="0"/>
        <w:numPr>
          <w:ilvl w:val="0"/>
          <w:numId w:val="7"/>
        </w:numPr>
        <w:spacing w:after="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Hemorragia </w:t>
      </w:r>
    </w:p>
    <w:p w:rsidR="00000000" w:rsidDel="00000000" w:rsidP="00000000" w:rsidRDefault="00000000" w:rsidRPr="00000000" w14:paraId="00000039">
      <w:pPr>
        <w:widowControl w:val="0"/>
        <w:numPr>
          <w:ilvl w:val="0"/>
          <w:numId w:val="7"/>
        </w:numPr>
        <w:spacing w:after="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Edema y hematoma </w:t>
      </w:r>
    </w:p>
    <w:p w:rsidR="00000000" w:rsidDel="00000000" w:rsidP="00000000" w:rsidRDefault="00000000" w:rsidRPr="00000000" w14:paraId="0000003A">
      <w:pPr>
        <w:widowControl w:val="0"/>
        <w:numPr>
          <w:ilvl w:val="0"/>
          <w:numId w:val="7"/>
        </w:numPr>
        <w:spacing w:after="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Trombosis:</w:t>
      </w:r>
      <w:r w:rsidDel="00000000" w:rsidR="00000000" w:rsidRPr="00000000">
        <w:rPr>
          <w:rFonts w:ascii="Arial" w:cs="Arial" w:eastAsia="Arial" w:hAnsi="Arial"/>
          <w:sz w:val="24"/>
          <w:szCs w:val="24"/>
          <w:rtl w:val="0"/>
        </w:rPr>
        <w:t xml:space="preserve">se desarrollan trombos en el área de entrada de la aguja en la pared vascular. Es asintomática o moderadamente dolorosa. </w:t>
      </w:r>
    </w:p>
    <w:p w:rsidR="00000000" w:rsidDel="00000000" w:rsidP="00000000" w:rsidRDefault="00000000" w:rsidRPr="00000000" w14:paraId="0000003B">
      <w:pPr>
        <w:widowControl w:val="0"/>
        <w:numPr>
          <w:ilvl w:val="0"/>
          <w:numId w:val="7"/>
        </w:numPr>
        <w:spacing w:after="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Tromboflebitis</w:t>
      </w:r>
      <w:r w:rsidDel="00000000" w:rsidR="00000000" w:rsidRPr="00000000">
        <w:rPr>
          <w:rFonts w:ascii="Arial" w:cs="Arial" w:eastAsia="Arial" w:hAnsi="Arial"/>
          <w:sz w:val="24"/>
          <w:szCs w:val="24"/>
          <w:rtl w:val="0"/>
        </w:rPr>
        <w:t xml:space="preserve">: habitualmente está acompañada de fiebre, malestar general y leucocitosis que puede indicar compromiso bacteriano. Los síntomas agudos se manifiestan en pocos días pero la hipersensibilidad local puede perdurar por varias semanas, produciendo la formación de un cordón venoso no doloroso. Este cuadro puede evolucionar a una tromboflebitis supurativa, evidenciado por la salida de material purulento del sitio de venopunción.</w:t>
      </w:r>
    </w:p>
    <w:p w:rsidR="00000000" w:rsidDel="00000000" w:rsidP="00000000" w:rsidRDefault="00000000" w:rsidRPr="00000000" w14:paraId="0000003C">
      <w:pPr>
        <w:widowControl w:val="0"/>
        <w:spacing w:after="0" w:line="240" w:lineRule="auto"/>
        <w:ind w:left="213"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widowControl w:val="0"/>
        <w:spacing w:after="0" w:line="240" w:lineRule="auto"/>
        <w:ind w:left="213"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E">
      <w:pPr>
        <w:widowControl w:val="0"/>
        <w:spacing w:after="0" w:line="240" w:lineRule="auto"/>
        <w:ind w:left="213"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widowControl w:val="0"/>
        <w:spacing w:after="0" w:line="24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0">
      <w:pPr>
        <w:widowControl w:val="0"/>
        <w:spacing w:after="0" w:line="240"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11.  ACTIVIDADES RECOMENDADAS</w:t>
      </w:r>
    </w:p>
    <w:p w:rsidR="00000000" w:rsidDel="00000000" w:rsidP="00000000" w:rsidRDefault="00000000" w:rsidRPr="00000000" w14:paraId="00000041">
      <w:pPr>
        <w:rPr>
          <w:rFonts w:ascii="Arial" w:cs="Arial" w:eastAsia="Arial" w:hAnsi="Arial"/>
          <w:sz w:val="24"/>
          <w:szCs w:val="24"/>
        </w:rPr>
      </w:pPr>
      <w:r w:rsidDel="00000000" w:rsidR="00000000" w:rsidRPr="00000000">
        <w:rPr>
          <w:rtl w:val="0"/>
        </w:rPr>
      </w:r>
    </w:p>
    <w:tbl>
      <w:tblPr>
        <w:tblStyle w:val="Table1"/>
        <w:tblW w:w="11130.0" w:type="dxa"/>
        <w:jc w:val="left"/>
        <w:tblInd w:w="-10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25"/>
        <w:gridCol w:w="5145"/>
        <w:gridCol w:w="2265"/>
        <w:gridCol w:w="1395"/>
        <w:tblGridChange w:id="0">
          <w:tblGrid>
            <w:gridCol w:w="2325"/>
            <w:gridCol w:w="5145"/>
            <w:gridCol w:w="2265"/>
            <w:gridCol w:w="1395"/>
          </w:tblGrid>
        </w:tblGridChange>
      </w:tblGrid>
      <w:tr>
        <w:trPr>
          <w:cantSplit w:val="0"/>
          <w:trHeight w:val="907" w:hRule="atLeast"/>
          <w:tblHeader w:val="0"/>
        </w:trPr>
        <w:tc>
          <w:tcPr/>
          <w:p w:rsidR="00000000" w:rsidDel="00000000" w:rsidP="00000000" w:rsidRDefault="00000000" w:rsidRPr="00000000" w14:paraId="00000042">
            <w:pPr>
              <w:widowControl w:val="0"/>
              <w:spacing w:after="0" w:line="240" w:lineRule="auto"/>
              <w:ind w:left="90" w:right="8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No. y nombre</w:t>
            </w:r>
          </w:p>
          <w:p w:rsidR="00000000" w:rsidDel="00000000" w:rsidP="00000000" w:rsidRDefault="00000000" w:rsidRPr="00000000" w14:paraId="00000043">
            <w:pPr>
              <w:widowControl w:val="0"/>
              <w:spacing w:after="0" w:before="5" w:line="240" w:lineRule="auto"/>
              <w:ind w:left="527" w:right="52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 la</w:t>
            </w:r>
          </w:p>
          <w:p w:rsidR="00000000" w:rsidDel="00000000" w:rsidP="00000000" w:rsidRDefault="00000000" w:rsidRPr="00000000" w14:paraId="00000044">
            <w:pPr>
              <w:spacing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Actividad</w:t>
            </w:r>
          </w:p>
        </w:tc>
        <w:tc>
          <w:tcPr/>
          <w:p w:rsidR="00000000" w:rsidDel="00000000" w:rsidP="00000000" w:rsidRDefault="00000000" w:rsidRPr="00000000" w14:paraId="00000045">
            <w:pPr>
              <w:spacing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Descripción</w:t>
            </w:r>
          </w:p>
        </w:tc>
        <w:tc>
          <w:tcPr/>
          <w:p w:rsidR="00000000" w:rsidDel="00000000" w:rsidP="00000000" w:rsidRDefault="00000000" w:rsidRPr="00000000" w14:paraId="00000046">
            <w:pPr>
              <w:spacing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Responsable</w:t>
            </w:r>
          </w:p>
        </w:tc>
        <w:tc>
          <w:tcPr/>
          <w:p w:rsidR="00000000" w:rsidDel="00000000" w:rsidP="00000000" w:rsidRDefault="00000000" w:rsidRPr="00000000" w14:paraId="00000047">
            <w:pPr>
              <w:spacing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Registro</w:t>
            </w:r>
          </w:p>
        </w:tc>
      </w:tr>
      <w:tr>
        <w:trPr>
          <w:cantSplit w:val="0"/>
          <w:trHeight w:val="907" w:hRule="atLeast"/>
          <w:tblHeader w:val="0"/>
        </w:trPr>
        <w:tc>
          <w:tcPr/>
          <w:p w:rsidR="00000000" w:rsidDel="00000000" w:rsidP="00000000" w:rsidRDefault="00000000" w:rsidRPr="00000000" w14:paraId="00000048">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9">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A">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B">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C">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D">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E">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F">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0">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1">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2">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3">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4">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5">
            <w:pPr>
              <w:widowControl w:val="0"/>
              <w:spacing w:after="0" w:line="240" w:lineRule="auto"/>
              <w:ind w:left="90" w:right="8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6">
            <w:pPr>
              <w:widowControl w:val="0"/>
              <w:numPr>
                <w:ilvl w:val="0"/>
                <w:numId w:val="4"/>
              </w:numPr>
              <w:spacing w:after="0" w:line="240" w:lineRule="auto"/>
              <w:ind w:left="720" w:right="88" w:hanging="360"/>
              <w:jc w:val="center"/>
              <w:rPr>
                <w:rFonts w:ascii="Arial" w:cs="Arial" w:eastAsia="Arial" w:hAnsi="Arial"/>
                <w:b w:val="1"/>
                <w:sz w:val="24"/>
                <w:szCs w:val="24"/>
                <w:u w:val="none"/>
              </w:rPr>
            </w:pPr>
            <w:r w:rsidDel="00000000" w:rsidR="00000000" w:rsidRPr="00000000">
              <w:rPr>
                <w:rFonts w:ascii="Arial" w:cs="Arial" w:eastAsia="Arial" w:hAnsi="Arial"/>
                <w:b w:val="1"/>
                <w:sz w:val="24"/>
                <w:szCs w:val="24"/>
                <w:rtl w:val="0"/>
              </w:rPr>
              <w:t xml:space="preserve">ACCIONES PARA PREVENIR LA FLEBITIS</w:t>
            </w:r>
          </w:p>
        </w:tc>
        <w:tc>
          <w:tcPr/>
          <w:p w:rsidR="00000000" w:rsidDel="00000000" w:rsidP="00000000" w:rsidRDefault="00000000" w:rsidRPr="00000000" w14:paraId="00000057">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Realizar lavado de manos siguiendo el Protocolo de lavado de manos.</w:t>
            </w:r>
          </w:p>
          <w:p w:rsidR="00000000" w:rsidDel="00000000" w:rsidP="00000000" w:rsidRDefault="00000000" w:rsidRPr="00000000" w14:paraId="00000058">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 usar joyas en manos (pulseras, anillos, reloj). </w:t>
            </w:r>
          </w:p>
          <w:p w:rsidR="00000000" w:rsidDel="00000000" w:rsidP="00000000" w:rsidRDefault="00000000" w:rsidRPr="00000000" w14:paraId="00000059">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Tener las uñas cortas y sin esmalte.</w:t>
            </w:r>
          </w:p>
          <w:p w:rsidR="00000000" w:rsidDel="00000000" w:rsidP="00000000" w:rsidRDefault="00000000" w:rsidRPr="00000000" w14:paraId="0000005A">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Colocar el brazo del paciente a un nivel más bajo que el cuerpo. </w:t>
            </w:r>
          </w:p>
          <w:p w:rsidR="00000000" w:rsidDel="00000000" w:rsidP="00000000" w:rsidRDefault="00000000" w:rsidRPr="00000000" w14:paraId="0000005B">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Si no se observa con facilidad al paciente las venas para puncionar, aplicar bolsas calientes para dilatar las venas.</w:t>
            </w:r>
          </w:p>
          <w:p w:rsidR="00000000" w:rsidDel="00000000" w:rsidP="00000000" w:rsidRDefault="00000000" w:rsidRPr="00000000" w14:paraId="0000005C">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Colocar el torniquete en forma que no traumatice al paciente y soltarlo antes de inyectar el líquido. </w:t>
            </w:r>
          </w:p>
          <w:p w:rsidR="00000000" w:rsidDel="00000000" w:rsidP="00000000" w:rsidRDefault="00000000" w:rsidRPr="00000000" w14:paraId="0000005D">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Aspirar siempre antes de introducir el líquido para cerciorarse de que la aguja está en la vena. Mientras se aplica, aspirar varias veces para constatar que continúa en ella. </w:t>
            </w:r>
          </w:p>
          <w:p w:rsidR="00000000" w:rsidDel="00000000" w:rsidP="00000000" w:rsidRDefault="00000000" w:rsidRPr="00000000" w14:paraId="0000005E">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Aplicar lentamente la inyección si no hay contraindicación. </w:t>
            </w:r>
          </w:p>
          <w:p w:rsidR="00000000" w:rsidDel="00000000" w:rsidP="00000000" w:rsidRDefault="00000000" w:rsidRPr="00000000" w14:paraId="0000005F">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Observar la reacción del paciente. </w:t>
            </w:r>
          </w:p>
          <w:p w:rsidR="00000000" w:rsidDel="00000000" w:rsidP="00000000" w:rsidRDefault="00000000" w:rsidRPr="00000000" w14:paraId="00000060">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 retirar la aguja, presionar en el sitio donde se aplicó la inyección. </w:t>
            </w:r>
          </w:p>
          <w:p w:rsidR="00000000" w:rsidDel="00000000" w:rsidP="00000000" w:rsidRDefault="00000000" w:rsidRPr="00000000" w14:paraId="00000061">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 aplicar por esta vía sustancias oleosas ni lechosas. </w:t>
            </w:r>
          </w:p>
          <w:p w:rsidR="00000000" w:rsidDel="00000000" w:rsidP="00000000" w:rsidRDefault="00000000" w:rsidRPr="00000000" w14:paraId="00000062">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 mezclar sustancias. </w:t>
            </w:r>
          </w:p>
          <w:p w:rsidR="00000000" w:rsidDel="00000000" w:rsidP="00000000" w:rsidRDefault="00000000" w:rsidRPr="00000000" w14:paraId="00000063">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Vigilar constantemente si se presenta extravasamiento del líquido. Si esto ocurre, retirar inmediatamente la aguja y puncionar de nuevo en otro sitio. </w:t>
            </w:r>
          </w:p>
          <w:p w:rsidR="00000000" w:rsidDel="00000000" w:rsidP="00000000" w:rsidRDefault="00000000" w:rsidRPr="00000000" w14:paraId="00000064">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Vigilar si se presenta hematoma. </w:t>
            </w:r>
          </w:p>
          <w:p w:rsidR="00000000" w:rsidDel="00000000" w:rsidP="00000000" w:rsidRDefault="00000000" w:rsidRPr="00000000" w14:paraId="00000065">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Dejar al paciente en reposo después de la aplicación de cualquier tratamiento intravenoso. </w:t>
            </w:r>
          </w:p>
          <w:p w:rsidR="00000000" w:rsidDel="00000000" w:rsidP="00000000" w:rsidRDefault="00000000" w:rsidRPr="00000000" w14:paraId="00000066">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 utilizar venas de miembros inferiores por el alto riesgo de tromboflebitis. </w:t>
            </w:r>
          </w:p>
          <w:p w:rsidR="00000000" w:rsidDel="00000000" w:rsidP="00000000" w:rsidRDefault="00000000" w:rsidRPr="00000000" w14:paraId="00000067">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Informar al paciente y su familia los signos y síntomas de flebitis para comunicar de manera oportuna de su existencia. </w:t>
            </w:r>
          </w:p>
          <w:p w:rsidR="00000000" w:rsidDel="00000000" w:rsidP="00000000" w:rsidRDefault="00000000" w:rsidRPr="00000000" w14:paraId="00000068">
            <w:pPr>
              <w:numPr>
                <w:ilvl w:val="0"/>
                <w:numId w:val="8"/>
              </w:numPr>
              <w:spacing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 preferencia se deben utilizar las venas de las extremidades superiores</w:t>
            </w:r>
          </w:p>
        </w:tc>
        <w:tc>
          <w:tcPr/>
          <w:p w:rsidR="00000000" w:rsidDel="00000000" w:rsidP="00000000" w:rsidRDefault="00000000" w:rsidRPr="00000000" w14:paraId="0000006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8">
            <w:pPr>
              <w:rPr>
                <w:rFonts w:ascii="Arial" w:cs="Arial" w:eastAsia="Arial" w:hAnsi="Arial"/>
                <w:sz w:val="24"/>
                <w:szCs w:val="24"/>
              </w:rPr>
            </w:pPr>
            <w:r w:rsidDel="00000000" w:rsidR="00000000" w:rsidRPr="00000000">
              <w:rPr>
                <w:rFonts w:ascii="Arial" w:cs="Arial" w:eastAsia="Arial" w:hAnsi="Arial"/>
                <w:sz w:val="24"/>
                <w:szCs w:val="24"/>
                <w:rtl w:val="0"/>
              </w:rPr>
              <w:t xml:space="preserve">Auxiliar de enfermería de turno</w:t>
            </w:r>
          </w:p>
          <w:p w:rsidR="00000000" w:rsidDel="00000000" w:rsidP="00000000" w:rsidRDefault="00000000" w:rsidRPr="00000000" w14:paraId="00000079">
            <w:pPr>
              <w:spacing w:line="240" w:lineRule="auto"/>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7A">
            <w:pPr>
              <w:spacing w:line="240" w:lineRule="auto"/>
              <w:jc w:val="center"/>
              <w:rPr>
                <w:rFonts w:ascii="Arial" w:cs="Arial" w:eastAsia="Arial" w:hAnsi="Arial"/>
                <w:b w:val="1"/>
                <w:sz w:val="24"/>
                <w:szCs w:val="24"/>
              </w:rPr>
            </w:pPr>
            <w:r w:rsidDel="00000000" w:rsidR="00000000" w:rsidRPr="00000000">
              <w:rPr>
                <w:rtl w:val="0"/>
              </w:rPr>
            </w:r>
          </w:p>
        </w:tc>
      </w:tr>
      <w:tr>
        <w:trPr>
          <w:cantSplit w:val="0"/>
          <w:trHeight w:val="9234" w:hRule="atLeast"/>
          <w:tblHeader w:val="0"/>
        </w:trPr>
        <w:tc>
          <w:tcPr/>
          <w:p w:rsidR="00000000" w:rsidDel="00000000" w:rsidP="00000000" w:rsidRDefault="00000000" w:rsidRPr="00000000" w14:paraId="0000007B">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C">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D">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E">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F">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0">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1">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2">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3">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4">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5">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6">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7">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8">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2.Valoración de catéter intravascular periférico</w:t>
            </w:r>
          </w:p>
        </w:tc>
        <w:tc>
          <w:tcPr/>
          <w:p w:rsidR="00000000" w:rsidDel="00000000" w:rsidP="00000000" w:rsidRDefault="00000000" w:rsidRPr="00000000" w14:paraId="00000089">
            <w:pPr>
              <w:widowControl w:val="0"/>
              <w:numPr>
                <w:ilvl w:val="0"/>
                <w:numId w:val="10"/>
              </w:numPr>
              <w:spacing w:after="0" w:line="240" w:lineRule="auto"/>
              <w:ind w:left="720" w:right="62"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En la ronda diaria de enfermería verificar el estado del catéter intravascular periférico, identificando signos de flebitis;</w:t>
            </w:r>
          </w:p>
          <w:p w:rsidR="00000000" w:rsidDel="00000000" w:rsidP="00000000" w:rsidRDefault="00000000" w:rsidRPr="00000000" w14:paraId="0000008A">
            <w:pPr>
              <w:widowControl w:val="0"/>
              <w:spacing w:after="0" w:before="6"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B">
            <w:pPr>
              <w:numPr>
                <w:ilvl w:val="0"/>
                <w:numId w:val="6"/>
              </w:numPr>
              <w:spacing w:after="0" w:afterAutospacing="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Valorar al paciente por lo menos una vez por turno.</w:t>
            </w:r>
          </w:p>
          <w:p w:rsidR="00000000" w:rsidDel="00000000" w:rsidP="00000000" w:rsidRDefault="00000000" w:rsidRPr="00000000" w14:paraId="0000008C">
            <w:pPr>
              <w:widowControl w:val="0"/>
              <w:numPr>
                <w:ilvl w:val="0"/>
                <w:numId w:val="6"/>
              </w:numPr>
              <w:spacing w:after="0" w:before="0" w:beforeAutospacing="0" w:line="240" w:lineRule="auto"/>
              <w:ind w:left="720" w:right="62"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Hágalo  sistemáticamente;  empiece  por  el  frasco  de  la solución, la vía y la zona de inserción.</w:t>
            </w:r>
          </w:p>
          <w:p w:rsidR="00000000" w:rsidDel="00000000" w:rsidP="00000000" w:rsidRDefault="00000000" w:rsidRPr="00000000" w14:paraId="0000008D">
            <w:pPr>
              <w:widowControl w:val="0"/>
              <w:spacing w:after="0" w:before="5"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E">
            <w:pPr>
              <w:widowControl w:val="0"/>
              <w:numPr>
                <w:ilvl w:val="0"/>
                <w:numId w:val="1"/>
              </w:numPr>
              <w:spacing w:after="0" w:line="240" w:lineRule="auto"/>
              <w:ind w:left="720" w:right="62"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Llevar    un    registro    con    los    siguientes    datos:    En observaciones de enfermería la nota debe contemplar:</w:t>
            </w:r>
          </w:p>
          <w:p w:rsidR="00000000" w:rsidDel="00000000" w:rsidP="00000000" w:rsidRDefault="00000000" w:rsidRPr="00000000" w14:paraId="0000008F">
            <w:pPr>
              <w:widowControl w:val="0"/>
              <w:spacing w:after="0" w:before="5"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0">
            <w:pPr>
              <w:widowControl w:val="0"/>
              <w:numPr>
                <w:ilvl w:val="0"/>
                <w:numId w:val="2"/>
              </w:numPr>
              <w:spacing w:after="0" w:afterAutospacing="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El tipo de catéter periférico y el calibre del mismo</w:t>
            </w:r>
          </w:p>
          <w:p w:rsidR="00000000" w:rsidDel="00000000" w:rsidP="00000000" w:rsidRDefault="00000000" w:rsidRPr="00000000" w14:paraId="00000091">
            <w:pPr>
              <w:widowControl w:val="0"/>
              <w:numPr>
                <w:ilvl w:val="0"/>
                <w:numId w:val="2"/>
              </w:numPr>
              <w:spacing w:after="0" w:afterAutospacing="0" w:before="0" w:beforeAutospacing="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La fecha y lugar de inserción</w:t>
            </w:r>
          </w:p>
          <w:p w:rsidR="00000000" w:rsidDel="00000000" w:rsidP="00000000" w:rsidRDefault="00000000" w:rsidRPr="00000000" w14:paraId="00000092">
            <w:pPr>
              <w:widowControl w:val="0"/>
              <w:numPr>
                <w:ilvl w:val="0"/>
                <w:numId w:val="2"/>
              </w:numPr>
              <w:spacing w:after="0" w:before="0" w:beforeAutospacing="0" w:line="240" w:lineRule="auto"/>
              <w:ind w:left="720" w:right="67"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La fecha de los cambios del sistema, del apósito y de la vía</w:t>
            </w:r>
          </w:p>
          <w:p w:rsidR="00000000" w:rsidDel="00000000" w:rsidP="00000000" w:rsidRDefault="00000000" w:rsidRPr="00000000" w14:paraId="00000093">
            <w:pPr>
              <w:widowControl w:val="0"/>
              <w:numPr>
                <w:ilvl w:val="0"/>
                <w:numId w:val="2"/>
              </w:numPr>
              <w:spacing w:after="0" w:afterAutospacing="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Datos  relevantes  relacionados  con el mantenimiento del catéter. Observar y palpar el sitio de la punción</w:t>
            </w:r>
          </w:p>
          <w:p w:rsidR="00000000" w:rsidDel="00000000" w:rsidP="00000000" w:rsidRDefault="00000000" w:rsidRPr="00000000" w14:paraId="00000094">
            <w:pPr>
              <w:widowControl w:val="0"/>
              <w:numPr>
                <w:ilvl w:val="0"/>
                <w:numId w:val="2"/>
              </w:numPr>
              <w:spacing w:after="0" w:afterAutospacing="0" w:before="0" w:beforeAutospacing="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Buscar la presencia de enrojecimiento y edema</w:t>
            </w:r>
          </w:p>
          <w:p w:rsidR="00000000" w:rsidDel="00000000" w:rsidP="00000000" w:rsidRDefault="00000000" w:rsidRPr="00000000" w14:paraId="00000095">
            <w:pPr>
              <w:widowControl w:val="0"/>
              <w:numPr>
                <w:ilvl w:val="0"/>
                <w:numId w:val="2"/>
              </w:numPr>
              <w:spacing w:after="0" w:before="0" w:beforeAutospacing="0" w:line="240" w:lineRule="auto"/>
              <w:ind w:left="720" w:right="6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Comparar  la    temperatura  cutánea  de  la  zona  de punción con la del brazo contra lateral</w:t>
            </w:r>
          </w:p>
          <w:p w:rsidR="00000000" w:rsidDel="00000000" w:rsidP="00000000" w:rsidRDefault="00000000" w:rsidRPr="00000000" w14:paraId="00000096">
            <w:pPr>
              <w:widowControl w:val="0"/>
              <w:numPr>
                <w:ilvl w:val="0"/>
                <w:numId w:val="2"/>
              </w:numPr>
              <w:spacing w:after="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Indagar  si  el  paciente  tiene  alguna  sensación  de disconfort con respecto a su catéter venoso periférico (ardor, dolor, pesadez).</w:t>
            </w:r>
          </w:p>
          <w:p w:rsidR="00000000" w:rsidDel="00000000" w:rsidP="00000000" w:rsidRDefault="00000000" w:rsidRPr="00000000" w14:paraId="00000097">
            <w:pPr>
              <w:widowControl w:val="0"/>
              <w:spacing w:after="0" w:before="3"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8">
            <w:pPr>
              <w:widowControl w:val="0"/>
              <w:spacing w:after="0" w:before="3"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9">
            <w:pPr>
              <w:widowControl w:val="0"/>
              <w:spacing w:after="0" w:before="3" w:line="240" w:lineRule="auto"/>
              <w:jc w:val="both"/>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9A">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B">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C">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D">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E">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F">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Auxiliar de enfermería de turno</w:t>
            </w:r>
          </w:p>
        </w:tc>
        <w:tc>
          <w:tcPr/>
          <w:p w:rsidR="00000000" w:rsidDel="00000000" w:rsidP="00000000" w:rsidRDefault="00000000" w:rsidRPr="00000000" w14:paraId="000000A0">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1">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2">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3">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4">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5">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Historia Clínica/ Observación enfermería</w:t>
            </w:r>
          </w:p>
        </w:tc>
      </w:tr>
      <w:tr>
        <w:trPr>
          <w:cantSplit w:val="0"/>
          <w:tblHeader w:val="0"/>
        </w:trPr>
        <w:tc>
          <w:tcPr/>
          <w:p w:rsidR="00000000" w:rsidDel="00000000" w:rsidP="00000000" w:rsidRDefault="00000000" w:rsidRPr="00000000" w14:paraId="000000A6">
            <w:pPr>
              <w:widowControl w:val="0"/>
              <w:spacing w:after="0" w:line="240" w:lineRule="auto"/>
              <w:ind w:left="10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3.Intervención para los pacientes que se detecten con flebitis</w:t>
            </w:r>
          </w:p>
        </w:tc>
        <w:tc>
          <w:tcPr/>
          <w:p w:rsidR="00000000" w:rsidDel="00000000" w:rsidP="00000000" w:rsidRDefault="00000000" w:rsidRPr="00000000" w14:paraId="000000A7">
            <w:pPr>
              <w:widowControl w:val="0"/>
              <w:spacing w:after="0" w:before="13" w:line="240" w:lineRule="auto"/>
              <w:ind w:left="10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En caso de presentarse flebitis:</w:t>
            </w:r>
          </w:p>
          <w:p w:rsidR="00000000" w:rsidDel="00000000" w:rsidP="00000000" w:rsidRDefault="00000000" w:rsidRPr="00000000" w14:paraId="000000A8">
            <w:pPr>
              <w:widowControl w:val="0"/>
              <w:numPr>
                <w:ilvl w:val="0"/>
                <w:numId w:val="3"/>
              </w:numPr>
              <w:spacing w:after="0" w:afterAutospacing="0" w:line="242.99999999999997" w:lineRule="auto"/>
              <w:ind w:left="720" w:right="62"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Retirar  y cambiar  el sitio de la punción  en un área alejada del foco de infección (Grado 2).</w:t>
            </w:r>
          </w:p>
          <w:p w:rsidR="00000000" w:rsidDel="00000000" w:rsidP="00000000" w:rsidRDefault="00000000" w:rsidRPr="00000000" w14:paraId="000000A9">
            <w:pPr>
              <w:widowControl w:val="0"/>
              <w:numPr>
                <w:ilvl w:val="0"/>
                <w:numId w:val="3"/>
              </w:numPr>
              <w:spacing w:after="0" w:before="0" w:beforeAutospacing="0" w:line="242.99999999999997" w:lineRule="auto"/>
              <w:ind w:left="720" w:right="6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Insertar  nuevo  catéter  según  protocolo de venopunción.</w:t>
            </w:r>
          </w:p>
          <w:p w:rsidR="00000000" w:rsidDel="00000000" w:rsidP="00000000" w:rsidRDefault="00000000" w:rsidRPr="00000000" w14:paraId="000000AA">
            <w:pPr>
              <w:widowControl w:val="0"/>
              <w:numPr>
                <w:ilvl w:val="0"/>
                <w:numId w:val="3"/>
              </w:numPr>
              <w:spacing w:after="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Si hay secreción, tomar muestra para cultivo</w:t>
            </w:r>
          </w:p>
          <w:p w:rsidR="00000000" w:rsidDel="00000000" w:rsidP="00000000" w:rsidRDefault="00000000" w:rsidRPr="00000000" w14:paraId="000000AB">
            <w:pPr>
              <w:widowControl w:val="0"/>
              <w:numPr>
                <w:ilvl w:val="0"/>
                <w:numId w:val="3"/>
              </w:numPr>
              <w:spacing w:after="0"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Aplicar compresas calientes para aliviar el dolor</w:t>
            </w:r>
          </w:p>
          <w:p w:rsidR="00000000" w:rsidDel="00000000" w:rsidP="00000000" w:rsidRDefault="00000000" w:rsidRPr="00000000" w14:paraId="000000AC">
            <w:pPr>
              <w:numPr>
                <w:ilvl w:val="0"/>
                <w:numId w:val="3"/>
              </w:numPr>
              <w:spacing w:line="240" w:lineRule="auto"/>
              <w:ind w:left="72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Valorar periódicamente el área afectada con el fin de detectar oportunamente posibles complicaciones y responder al tratamiento.</w:t>
            </w:r>
          </w:p>
        </w:tc>
        <w:tc>
          <w:tcPr/>
          <w:p w:rsidR="00000000" w:rsidDel="00000000" w:rsidP="00000000" w:rsidRDefault="00000000" w:rsidRPr="00000000" w14:paraId="000000AD">
            <w:pPr>
              <w:widowControl w:val="0"/>
              <w:spacing w:after="0" w:before="6"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E">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Enfermeras y auxiliares de enfermería</w:t>
            </w:r>
          </w:p>
        </w:tc>
        <w:tc>
          <w:tcPr/>
          <w:p w:rsidR="00000000" w:rsidDel="00000000" w:rsidP="00000000" w:rsidRDefault="00000000" w:rsidRPr="00000000" w14:paraId="000000AF">
            <w:pPr>
              <w:widowControl w:val="0"/>
              <w:spacing w:after="0" w:before="6"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0">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Historia Clínica/ Observación enfermería</w:t>
            </w:r>
          </w:p>
        </w:tc>
      </w:tr>
      <w:tr>
        <w:trPr>
          <w:cantSplit w:val="0"/>
          <w:tblHeader w:val="0"/>
        </w:trPr>
        <w:tc>
          <w:tcPr/>
          <w:p w:rsidR="00000000" w:rsidDel="00000000" w:rsidP="00000000" w:rsidRDefault="00000000" w:rsidRPr="00000000" w14:paraId="000000B1">
            <w:pPr>
              <w:widowControl w:val="0"/>
              <w:spacing w:after="0" w:line="240" w:lineRule="auto"/>
              <w:ind w:left="10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4.  Registro y</w:t>
            </w:r>
          </w:p>
          <w:p w:rsidR="00000000" w:rsidDel="00000000" w:rsidP="00000000" w:rsidRDefault="00000000" w:rsidRPr="00000000" w14:paraId="000000B2">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notificación</w:t>
            </w:r>
          </w:p>
        </w:tc>
        <w:tc>
          <w:tcPr/>
          <w:p w:rsidR="00000000" w:rsidDel="00000000" w:rsidP="00000000" w:rsidRDefault="00000000" w:rsidRPr="00000000" w14:paraId="000000B3">
            <w:pPr>
              <w:widowControl w:val="0"/>
              <w:spacing w:after="0" w:line="240" w:lineRule="auto"/>
              <w:ind w:right="66"/>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Clasificación de la escala de valoración de flebitis según esta guía   y registro adecuado de la actividad en notas de enfermería, con reporte  de evento adverso en formato establecido, registre gestión y plan de mejora del evento adverso.</w:t>
            </w:r>
          </w:p>
        </w:tc>
        <w:tc>
          <w:tcPr/>
          <w:p w:rsidR="00000000" w:rsidDel="00000000" w:rsidP="00000000" w:rsidRDefault="00000000" w:rsidRPr="00000000" w14:paraId="000000B4">
            <w:pPr>
              <w:widowControl w:val="0"/>
              <w:spacing w:after="0" w:before="6"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5">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6">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Enfermeras y auxiliares de enfermería</w:t>
            </w:r>
          </w:p>
        </w:tc>
        <w:tc>
          <w:tcPr/>
          <w:p w:rsidR="00000000" w:rsidDel="00000000" w:rsidP="00000000" w:rsidRDefault="00000000" w:rsidRPr="00000000" w14:paraId="000000B7">
            <w:pPr>
              <w:widowControl w:val="0"/>
              <w:spacing w:after="0" w:before="6"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8">
            <w:pPr>
              <w:spacing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9">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Historia Clínica/ Observación enfermería</w:t>
            </w:r>
          </w:p>
        </w:tc>
      </w:tr>
    </w:tbl>
    <w:p w:rsidR="00000000" w:rsidDel="00000000" w:rsidP="00000000" w:rsidRDefault="00000000" w:rsidRPr="00000000" w14:paraId="000000B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B">
      <w:pPr>
        <w:widowControl w:val="0"/>
        <w:spacing w:after="0" w:before="37" w:line="238"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vertAlign w:val="baseline"/>
          <w:rtl w:val="0"/>
        </w:rPr>
        <w:t xml:space="preserve">1</w:t>
      </w:r>
      <w:r w:rsidDel="00000000" w:rsidR="00000000" w:rsidRPr="00000000">
        <w:rPr>
          <w:rFonts w:ascii="Arial" w:cs="Arial" w:eastAsia="Arial" w:hAnsi="Arial"/>
          <w:b w:val="1"/>
          <w:sz w:val="24"/>
          <w:szCs w:val="24"/>
          <w:rtl w:val="0"/>
        </w:rPr>
        <w:t xml:space="preserve">2</w:t>
      </w:r>
      <w:r w:rsidDel="00000000" w:rsidR="00000000" w:rsidRPr="00000000">
        <w:rPr>
          <w:rFonts w:ascii="Arial" w:cs="Arial" w:eastAsia="Arial" w:hAnsi="Arial"/>
          <w:b w:val="1"/>
          <w:sz w:val="24"/>
          <w:szCs w:val="24"/>
          <w:vertAlign w:val="baseline"/>
          <w:rtl w:val="0"/>
        </w:rPr>
        <w:t xml:space="preserve">. EDUCACIÓN AL PACIENTE Y LA FAMILIA</w:t>
      </w:r>
      <w:r w:rsidDel="00000000" w:rsidR="00000000" w:rsidRPr="00000000">
        <w:rPr>
          <w:rtl w:val="0"/>
        </w:rPr>
      </w:r>
    </w:p>
    <w:p w:rsidR="00000000" w:rsidDel="00000000" w:rsidP="00000000" w:rsidRDefault="00000000" w:rsidRPr="00000000" w14:paraId="000000BC">
      <w:pPr>
        <w:widowControl w:val="0"/>
        <w:spacing w:after="0" w:before="19" w:line="20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D">
      <w:pPr>
        <w:widowControl w:val="0"/>
        <w:spacing w:after="0" w:before="37" w:line="245" w:lineRule="auto"/>
        <w:ind w:left="213" w:right="503"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Informar al paciente y a su acompañante sobre los beneficios de este procedimiento para su tratamiento y de los riesgos del procedimiento como: hematomas, rubor, calor, edema, celulitis y/o abscesos, induraciones o nódulos, lesión de tendón o nervios y dolor en el sitio de la punción, además del riesgo de flebitis química o bacteriana.</w:t>
      </w:r>
    </w:p>
    <w:p w:rsidR="00000000" w:rsidDel="00000000" w:rsidP="00000000" w:rsidRDefault="00000000" w:rsidRPr="00000000" w14:paraId="000000BE">
      <w:pPr>
        <w:widowControl w:val="0"/>
        <w:spacing w:after="0" w:before="37" w:line="245" w:lineRule="auto"/>
        <w:ind w:left="213" w:right="503"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F">
      <w:pPr>
        <w:widowControl w:val="0"/>
        <w:spacing w:after="0" w:before="37" w:line="245" w:lineRule="auto"/>
        <w:ind w:left="213" w:right="503"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Animar a los pacientes a comunicar al personal sanitario cualquier cambio que noten en la zona de inserción de su catéter o cualquier molestia.</w:t>
      </w:r>
    </w:p>
    <w:p w:rsidR="00000000" w:rsidDel="00000000" w:rsidP="00000000" w:rsidRDefault="00000000" w:rsidRPr="00000000" w14:paraId="000000C0">
      <w:pPr>
        <w:widowControl w:val="0"/>
        <w:spacing w:after="0" w:before="37" w:line="245" w:lineRule="auto"/>
        <w:ind w:left="213" w:right="503"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1">
      <w:pPr>
        <w:widowControl w:val="0"/>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2">
      <w:pPr>
        <w:widowControl w:val="0"/>
        <w:spacing w:after="0" w:line="240"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13. MÉTODOS DE CAPACITACIÓN</w:t>
      </w:r>
    </w:p>
    <w:p w:rsidR="00000000" w:rsidDel="00000000" w:rsidP="00000000" w:rsidRDefault="00000000" w:rsidRPr="00000000" w14:paraId="000000C3">
      <w:pPr>
        <w:widowControl w:val="0"/>
        <w:spacing w:after="0" w:before="15"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C4">
      <w:pPr>
        <w:widowControl w:val="0"/>
        <w:spacing w:after="0" w:line="240" w:lineRule="auto"/>
        <w:ind w:left="21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Socializar este protocolo con el personal asistencial de la ESE.</w:t>
      </w:r>
    </w:p>
    <w:p w:rsidR="00000000" w:rsidDel="00000000" w:rsidP="00000000" w:rsidRDefault="00000000" w:rsidRPr="00000000" w14:paraId="000000C5">
      <w:pPr>
        <w:widowControl w:val="0"/>
        <w:spacing w:after="0" w:before="8"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6">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C7">
      <w:pPr>
        <w:widowControl w:val="0"/>
        <w:spacing w:after="0" w:line="240"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14.  MÉTODO PARA EVALUAR LA ADHERENCIA A ESTA GUIA</w:t>
      </w:r>
    </w:p>
    <w:p w:rsidR="00000000" w:rsidDel="00000000" w:rsidP="00000000" w:rsidRDefault="00000000" w:rsidRPr="00000000" w14:paraId="000000C8">
      <w:pPr>
        <w:widowControl w:val="0"/>
        <w:spacing w:after="0" w:before="15"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C9">
      <w:pPr>
        <w:widowControl w:val="0"/>
        <w:spacing w:after="0" w:line="240" w:lineRule="auto"/>
        <w:ind w:left="21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Lista de chequeo, observación directa en rondas de seguridad, Auditorías de las historias clínicas.</w:t>
      </w:r>
    </w:p>
    <w:p w:rsidR="00000000" w:rsidDel="00000000" w:rsidP="00000000" w:rsidRDefault="00000000" w:rsidRPr="00000000" w14:paraId="000000CA">
      <w:pPr>
        <w:widowControl w:val="0"/>
        <w:spacing w:after="0" w:before="8"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B">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CC">
      <w:pPr>
        <w:widowControl w:val="0"/>
        <w:spacing w:after="0" w:line="240"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15. MÉTODO DE RETROALIMENTACIÓN</w:t>
      </w:r>
    </w:p>
    <w:p w:rsidR="00000000" w:rsidDel="00000000" w:rsidP="00000000" w:rsidRDefault="00000000" w:rsidRPr="00000000" w14:paraId="000000CD">
      <w:pPr>
        <w:widowControl w:val="0"/>
        <w:spacing w:after="0" w:before="13"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CE">
      <w:pPr>
        <w:widowControl w:val="0"/>
        <w:spacing w:after="0" w:line="245" w:lineRule="auto"/>
        <w:ind w:left="213" w:right="496"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 realizará mediante el consenso de los cambios realizados en la guía entre los integrantes de enfermería y farmacovigilancia.</w:t>
      </w:r>
    </w:p>
    <w:p w:rsidR="00000000" w:rsidDel="00000000" w:rsidP="00000000" w:rsidRDefault="00000000" w:rsidRPr="00000000" w14:paraId="000000C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0">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16. FRECUENCIA DE REVISIÓN DE LA GUÍA</w:t>
      </w:r>
    </w:p>
    <w:p w:rsidR="00000000" w:rsidDel="00000000" w:rsidP="00000000" w:rsidRDefault="00000000" w:rsidRPr="00000000" w14:paraId="000000D1">
      <w:pPr>
        <w:widowControl w:val="0"/>
        <w:spacing w:after="0" w:before="13"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2">
      <w:pPr>
        <w:widowControl w:val="0"/>
        <w:spacing w:after="0" w:line="240" w:lineRule="auto"/>
        <w:ind w:left="21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Cada tres años.</w:t>
      </w:r>
    </w:p>
    <w:p w:rsidR="00000000" w:rsidDel="00000000" w:rsidP="00000000" w:rsidRDefault="00000000" w:rsidRPr="00000000" w14:paraId="000000D3">
      <w:pPr>
        <w:widowControl w:val="0"/>
        <w:spacing w:after="0" w:before="8"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4">
      <w:pPr>
        <w:widowControl w:val="0"/>
        <w:spacing w:after="0" w:line="240"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APLICAR TEST:</w:t>
      </w:r>
    </w:p>
    <w:p w:rsidR="00000000" w:rsidDel="00000000" w:rsidP="00000000" w:rsidRDefault="00000000" w:rsidRPr="00000000" w14:paraId="000000D5">
      <w:pPr>
        <w:widowControl w:val="0"/>
        <w:spacing w:after="0" w:line="240" w:lineRule="auto"/>
        <w:ind w:left="213" w:firstLine="0"/>
        <w:rPr>
          <w:rFonts w:ascii="Arial" w:cs="Arial" w:eastAsia="Arial" w:hAnsi="Arial"/>
          <w:b w:val="1"/>
          <w:sz w:val="24"/>
          <w:szCs w:val="24"/>
        </w:rPr>
      </w:pPr>
      <w:hyperlink r:id="rId8">
        <w:r w:rsidDel="00000000" w:rsidR="00000000" w:rsidRPr="00000000">
          <w:rPr>
            <w:rFonts w:ascii="Arial" w:cs="Arial" w:eastAsia="Arial" w:hAnsi="Arial"/>
            <w:b w:val="1"/>
            <w:color w:val="1155cc"/>
            <w:sz w:val="24"/>
            <w:szCs w:val="24"/>
            <w:u w:val="single"/>
            <w:rtl w:val="0"/>
          </w:rPr>
          <w:t xml:space="preserve">https://forms.gle/7mCvYeaEMvmrFqqE6</w:t>
        </w:r>
      </w:hyperlink>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D6">
      <w:pPr>
        <w:widowControl w:val="0"/>
        <w:spacing w:after="0" w:line="240"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br w:type="textWrapping"/>
      </w:r>
    </w:p>
    <w:p w:rsidR="00000000" w:rsidDel="00000000" w:rsidP="00000000" w:rsidRDefault="00000000" w:rsidRPr="00000000" w14:paraId="000000D7">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8">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9">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A">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B">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C">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D">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E">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DF">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0">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1">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2">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3">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4">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5">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6">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7">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8">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9">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A">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B">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C">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D">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E">
      <w:pPr>
        <w:widowControl w:val="0"/>
        <w:spacing w:after="0" w:line="24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EF">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0">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1">
      <w:pPr>
        <w:widowControl w:val="0"/>
        <w:spacing w:after="0" w:line="240" w:lineRule="auto"/>
        <w:ind w:left="21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17. BIBLIOGRAFÍA</w:t>
      </w:r>
    </w:p>
    <w:p w:rsidR="00000000" w:rsidDel="00000000" w:rsidP="00000000" w:rsidRDefault="00000000" w:rsidRPr="00000000" w14:paraId="000000F2">
      <w:pPr>
        <w:widowControl w:val="0"/>
        <w:spacing w:after="0" w:line="240" w:lineRule="auto"/>
        <w:ind w:left="213"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3">
      <w:pPr>
        <w:widowControl w:val="0"/>
        <w:spacing w:after="0" w:before="13"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4">
      <w:pPr>
        <w:widowControl w:val="0"/>
        <w:tabs>
          <w:tab w:val="left" w:leader="none" w:pos="560"/>
        </w:tabs>
        <w:spacing w:after="0" w:line="245" w:lineRule="auto"/>
        <w:ind w:left="563" w:right="498" w:hanging="350"/>
        <w:rPr>
          <w:rFonts w:ascii="Arial" w:cs="Arial" w:eastAsia="Arial" w:hAnsi="Arial"/>
          <w:sz w:val="24"/>
          <w:szCs w:val="24"/>
        </w:rPr>
      </w:pPr>
      <w:r w:rsidDel="00000000" w:rsidR="00000000" w:rsidRPr="00000000">
        <w:rPr>
          <w:rFonts w:ascii="Arial" w:cs="Arial" w:eastAsia="Arial" w:hAnsi="Arial"/>
          <w:sz w:val="24"/>
          <w:szCs w:val="24"/>
          <w:rtl w:val="0"/>
        </w:rPr>
        <w:t xml:space="preserve">• </w:t>
        <w:tab/>
        <w:t xml:space="preserve">Mendarte L,  Aguas M, Pons M, Torres  M D. Utilización de heparina sódica «versus» suero fisiológico en la permeabilización de las vías periféricas. Farm Hosp 1997; 21 (4): 222-226.</w:t>
      </w:r>
    </w:p>
    <w:p w:rsidR="00000000" w:rsidDel="00000000" w:rsidP="00000000" w:rsidRDefault="00000000" w:rsidRPr="00000000" w14:paraId="000000F5">
      <w:pPr>
        <w:widowControl w:val="0"/>
        <w:tabs>
          <w:tab w:val="left" w:leader="none" w:pos="560"/>
        </w:tabs>
        <w:spacing w:after="0" w:line="245" w:lineRule="auto"/>
        <w:ind w:left="563" w:right="498" w:hanging="35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6">
      <w:pPr>
        <w:widowControl w:val="0"/>
        <w:spacing w:after="0" w:line="239" w:lineRule="auto"/>
        <w:ind w:left="21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Fowler      Salud.      Guía      para      el      manejo      de      catéter      periférico      [artículo      en      internet]</w:t>
      </w:r>
    </w:p>
    <w:p w:rsidR="00000000" w:rsidDel="00000000" w:rsidP="00000000" w:rsidRDefault="00000000" w:rsidRPr="00000000" w14:paraId="000000F7">
      <w:pPr>
        <w:widowControl w:val="0"/>
        <w:spacing w:after="0" w:before="5" w:line="240" w:lineRule="auto"/>
        <w:ind w:left="563" w:firstLine="0"/>
        <w:rPr>
          <w:rFonts w:ascii="Arial" w:cs="Arial" w:eastAsia="Arial" w:hAnsi="Arial"/>
          <w:sz w:val="24"/>
          <w:szCs w:val="24"/>
        </w:rPr>
      </w:pPr>
      <w:hyperlink r:id="rId9">
        <w:r w:rsidDel="00000000" w:rsidR="00000000" w:rsidRPr="00000000">
          <w:rPr>
            <w:rFonts w:ascii="Arial" w:cs="Arial" w:eastAsia="Arial" w:hAnsi="Arial"/>
            <w:sz w:val="24"/>
            <w:szCs w:val="24"/>
            <w:rtl w:val="0"/>
          </w:rPr>
          <w:t xml:space="preserve">http://www.fowlersalud.com/soporteHD/documentos/guias/MCP_01.pdf.</w:t>
        </w:r>
      </w:hyperlink>
      <w:r w:rsidDel="00000000" w:rsidR="00000000" w:rsidRPr="00000000">
        <w:rPr>
          <w:rFonts w:ascii="Arial" w:cs="Arial" w:eastAsia="Arial" w:hAnsi="Arial"/>
          <w:sz w:val="24"/>
          <w:szCs w:val="24"/>
          <w:rtl w:val="0"/>
        </w:rPr>
        <w:t xml:space="preserve"> [Consulta: 21 de julio de 2010].</w:t>
      </w:r>
    </w:p>
    <w:p w:rsidR="00000000" w:rsidDel="00000000" w:rsidP="00000000" w:rsidRDefault="00000000" w:rsidRPr="00000000" w14:paraId="000000F8">
      <w:pPr>
        <w:widowControl w:val="0"/>
        <w:spacing w:after="0" w:before="5" w:line="240" w:lineRule="auto"/>
        <w:ind w:left="563"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9">
      <w:pPr>
        <w:widowControl w:val="0"/>
        <w:tabs>
          <w:tab w:val="left" w:leader="none" w:pos="560"/>
        </w:tabs>
        <w:spacing w:after="0" w:before="5" w:line="242.99999999999997" w:lineRule="auto"/>
        <w:ind w:left="563" w:right="498" w:hanging="350"/>
        <w:rPr>
          <w:rFonts w:ascii="Arial" w:cs="Arial" w:eastAsia="Arial" w:hAnsi="Arial"/>
          <w:sz w:val="24"/>
          <w:szCs w:val="24"/>
        </w:rPr>
      </w:pPr>
      <w:r w:rsidDel="00000000" w:rsidR="00000000" w:rsidRPr="00000000">
        <w:rPr>
          <w:rFonts w:ascii="Arial" w:cs="Arial" w:eastAsia="Arial" w:hAnsi="Arial"/>
          <w:sz w:val="24"/>
          <w:szCs w:val="24"/>
          <w:rtl w:val="0"/>
        </w:rPr>
        <w:t xml:space="preserve">• </w:t>
        <w:tab/>
        <w:t xml:space="preserve">The Joanna Briggs Institute.Management  of Peripheral Intravascular Devices. Best Practice: evidence-based practice information sheets for health professionals.2008;12(5):1-4.</w:t>
      </w:r>
    </w:p>
    <w:p w:rsidR="00000000" w:rsidDel="00000000" w:rsidP="00000000" w:rsidRDefault="00000000" w:rsidRPr="00000000" w14:paraId="000000FA">
      <w:pPr>
        <w:widowControl w:val="0"/>
        <w:spacing w:after="0" w:line="20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sectPr>
      <w:headerReference r:id="rId10" w:type="default"/>
      <w:footerReference r:id="rId11" w:type="default"/>
      <w:pgSz w:h="15840" w:w="12240" w:orient="portrait"/>
      <w:pgMar w:bottom="1276" w:top="1417" w:left="1701" w:right="1701" w:header="708" w:footer="40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tabs>
        <w:tab w:val="center" w:leader="none" w:pos="4513"/>
        <w:tab w:val="right" w:leader="none" w:pos="9026"/>
      </w:tabs>
      <w:spacing w:after="0" w:line="240" w:lineRule="auto"/>
      <w:ind w:firstLine="708"/>
      <w:jc w:val="center"/>
      <w:rPr>
        <w:rFonts w:ascii="Calibri" w:cs="Calibri" w:eastAsia="Calibri" w:hAnsi="Calibri"/>
        <w:i w:val="1"/>
      </w:rPr>
    </w:pPr>
    <w:r w:rsidDel="00000000" w:rsidR="00000000" w:rsidRPr="00000000">
      <w:rPr>
        <w:rFonts w:ascii="Calibri" w:cs="Calibri" w:eastAsia="Calibri" w:hAnsi="Calibri"/>
        <w:i w:val="1"/>
        <w:rtl w:val="0"/>
      </w:rPr>
      <w:t xml:space="preserve">“Un hospital con sentido social y sentido común”</w:t>
    </w:r>
  </w:p>
  <w:p w:rsidR="00000000" w:rsidDel="00000000" w:rsidP="00000000" w:rsidRDefault="00000000" w:rsidRPr="00000000" w14:paraId="00000110">
    <w:pPr>
      <w:tabs>
        <w:tab w:val="center" w:leader="none" w:pos="4513"/>
        <w:tab w:val="right" w:leader="none" w:pos="9026"/>
      </w:tabs>
      <w:spacing w:after="0" w:line="240" w:lineRule="auto"/>
      <w:ind w:firstLine="708"/>
      <w:jc w:val="center"/>
      <w:rPr>
        <w:rFonts w:ascii="Calibri" w:cs="Calibri" w:eastAsia="Calibri" w:hAnsi="Calibri"/>
        <w:i w:val="1"/>
      </w:rPr>
    </w:pPr>
    <w:r w:rsidDel="00000000" w:rsidR="00000000" w:rsidRPr="00000000">
      <w:rPr>
        <w:rFonts w:ascii="Calibri" w:cs="Calibri" w:eastAsia="Calibri" w:hAnsi="Calibri"/>
        <w:i w:val="1"/>
        <w:rtl w:val="0"/>
      </w:rPr>
      <w:t xml:space="preserve">Calle Restrepo Uribe Teléfono: 604 862 11 11 E-mail stdohs01@edatel.net.co</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Santo Domingo Antioquia, dirección: carrera 16 No. 18 - 29. NIT 890.906.560-1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C">
    <w:pPr>
      <w:widowControl w:val="0"/>
      <w:spacing w:after="0" w:line="276" w:lineRule="auto"/>
      <w:rPr>
        <w:rFonts w:ascii="Arial" w:cs="Arial" w:eastAsia="Arial" w:hAnsi="Arial"/>
        <w:sz w:val="24"/>
        <w:szCs w:val="24"/>
      </w:rPr>
    </w:pPr>
    <w:r w:rsidDel="00000000" w:rsidR="00000000" w:rsidRPr="00000000">
      <w:rPr>
        <w:rtl w:val="0"/>
      </w:rPr>
    </w:r>
  </w:p>
  <w:tbl>
    <w:tblPr>
      <w:tblStyle w:val="Table2"/>
      <w:tblpPr w:leftFromText="141" w:rightFromText="141" w:topFromText="0" w:bottomFromText="0" w:vertAnchor="text" w:horzAnchor="text" w:tblpX="-1490.9999999999995" w:tblpY="0"/>
      <w:tblW w:w="11475.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5"/>
      <w:gridCol w:w="5355"/>
      <w:gridCol w:w="3195"/>
      <w:tblGridChange w:id="0">
        <w:tblGrid>
          <w:gridCol w:w="2925"/>
          <w:gridCol w:w="5355"/>
          <w:gridCol w:w="3195"/>
        </w:tblGrid>
      </w:tblGridChange>
    </w:tblGrid>
    <w:tr>
      <w:trPr>
        <w:cantSplit w:val="1"/>
        <w:trHeight w:val="239"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0FD">
          <w:pPr>
            <w:tabs>
              <w:tab w:val="center" w:leader="none" w:pos="4252"/>
              <w:tab w:val="right" w:leader="none" w:pos="850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Pr>
            <w:drawing>
              <wp:inline distB="0" distT="0" distL="114300" distR="114300">
                <wp:extent cx="1468120" cy="819785"/>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68120" cy="819785"/>
                        </a:xfrm>
                        <a:prstGeom prst="rect"/>
                        <a:ln/>
                      </pic:spPr>
                    </pic:pic>
                  </a:graphicData>
                </a:graphic>
              </wp:inline>
            </w:drawing>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0FE">
          <w:pPr>
            <w:spacing w:after="0" w:line="240" w:lineRule="auto"/>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PROTOCOLO DE VENOPUNCIÓN</w:t>
          </w:r>
          <w:r w:rsidDel="00000000" w:rsidR="00000000" w:rsidRPr="00000000">
            <w:rPr>
              <w:rtl w:val="0"/>
            </w:rPr>
          </w:r>
        </w:p>
        <w:p w:rsidR="00000000" w:rsidDel="00000000" w:rsidP="00000000" w:rsidRDefault="00000000" w:rsidRPr="00000000" w14:paraId="000000FF">
          <w:pPr>
            <w:tabs>
              <w:tab w:val="center" w:leader="none" w:pos="4252"/>
              <w:tab w:val="right" w:leader="none" w:pos="8504"/>
            </w:tabs>
            <w:spacing w:after="0" w:line="240" w:lineRule="auto"/>
            <w:jc w:val="center"/>
            <w:rPr>
              <w:rFonts w:ascii="Arial" w:cs="Arial" w:eastAsia="Arial" w:hAnsi="Arial"/>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100">
          <w:pPr>
            <w:tabs>
              <w:tab w:val="center" w:leader="none" w:pos="4252"/>
              <w:tab w:val="right" w:leader="none" w:pos="8504"/>
            </w:tabs>
            <w:spacing w:after="0" w:line="24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Página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 de </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r>
        </w:p>
      </w:tc>
    </w:tr>
    <w:tr>
      <w:trPr>
        <w:cantSplit w:val="1"/>
        <w:trHeight w:val="239"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101">
          <w:pPr>
            <w:widowControl w:val="0"/>
            <w:spacing w:after="0" w:line="276" w:lineRule="auto"/>
            <w:rPr>
              <w:rFonts w:ascii="Arial" w:cs="Arial" w:eastAsia="Arial" w:hAnsi="Arial"/>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102">
          <w:pPr>
            <w:widowControl w:val="0"/>
            <w:spacing w:after="0" w:line="276" w:lineRule="auto"/>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103">
          <w:pPr>
            <w:tabs>
              <w:tab w:val="center" w:leader="none" w:pos="4252"/>
              <w:tab w:val="right" w:leader="none" w:pos="8504"/>
            </w:tabs>
            <w:spacing w:after="0" w:line="24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Código:</w:t>
          </w:r>
          <w:r w:rsidDel="00000000" w:rsidR="00000000" w:rsidRPr="00000000">
            <w:rPr>
              <w:rFonts w:ascii="Arial" w:cs="Arial" w:eastAsia="Arial" w:hAnsi="Arial"/>
              <w:sz w:val="16"/>
              <w:szCs w:val="16"/>
              <w:rtl w:val="0"/>
            </w:rPr>
            <w:t xml:space="preserve"> ISP - 06</w:t>
          </w:r>
        </w:p>
      </w:tc>
    </w:tr>
    <w:tr>
      <w:trPr>
        <w:cantSplit w:val="1"/>
        <w:trHeight w:val="239"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104">
          <w:pPr>
            <w:widowControl w:val="0"/>
            <w:spacing w:after="0" w:line="276" w:lineRule="auto"/>
            <w:rPr>
              <w:rFonts w:ascii="Arial" w:cs="Arial" w:eastAsia="Arial" w:hAnsi="Arial"/>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105">
          <w:pPr>
            <w:widowControl w:val="0"/>
            <w:spacing w:after="0" w:line="276" w:lineRule="auto"/>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106">
          <w:pPr>
            <w:spacing w:after="0" w:line="24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Versión:</w:t>
          </w:r>
          <w:r w:rsidDel="00000000" w:rsidR="00000000" w:rsidRPr="00000000">
            <w:rPr>
              <w:rFonts w:ascii="Arial" w:cs="Arial" w:eastAsia="Arial" w:hAnsi="Arial"/>
              <w:sz w:val="16"/>
              <w:szCs w:val="16"/>
              <w:rtl w:val="0"/>
            </w:rPr>
            <w:t xml:space="preserve"> 01</w:t>
          </w:r>
        </w:p>
      </w:tc>
    </w:tr>
    <w:tr>
      <w:trPr>
        <w:cantSplit w:val="1"/>
        <w:trHeight w:val="239"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107">
          <w:pPr>
            <w:widowControl w:val="0"/>
            <w:spacing w:after="0" w:line="276" w:lineRule="auto"/>
            <w:rPr>
              <w:rFonts w:ascii="Arial" w:cs="Arial" w:eastAsia="Arial" w:hAnsi="Arial"/>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108">
          <w:pPr>
            <w:widowControl w:val="0"/>
            <w:spacing w:after="0" w:line="276" w:lineRule="auto"/>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109">
          <w:pPr>
            <w:spacing w:after="0" w:line="24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actualización:</w:t>
          </w:r>
          <w:r w:rsidDel="00000000" w:rsidR="00000000" w:rsidRPr="00000000">
            <w:rPr>
              <w:rFonts w:ascii="Arial" w:cs="Arial" w:eastAsia="Arial" w:hAnsi="Arial"/>
              <w:sz w:val="16"/>
              <w:szCs w:val="16"/>
              <w:rtl w:val="0"/>
            </w:rPr>
            <w:t xml:space="preserve">  Enero 2024</w:t>
          </w:r>
        </w:p>
      </w:tc>
    </w:tr>
    <w:tr>
      <w:trPr>
        <w:cantSplit w:val="1"/>
        <w:trHeight w:val="239"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tcPr>
        <w:p w:rsidR="00000000" w:rsidDel="00000000" w:rsidP="00000000" w:rsidRDefault="00000000" w:rsidRPr="00000000" w14:paraId="0000010A">
          <w:pPr>
            <w:widowControl w:val="0"/>
            <w:spacing w:after="0" w:line="276" w:lineRule="auto"/>
            <w:rPr>
              <w:rFonts w:ascii="Arial" w:cs="Arial" w:eastAsia="Arial" w:hAnsi="Arial"/>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10B">
          <w:pPr>
            <w:widowControl w:val="0"/>
            <w:spacing w:after="0" w:line="276" w:lineRule="auto"/>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70.0" w:type="dxa"/>
            <w:bottom w:w="0.0" w:type="dxa"/>
            <w:right w:w="70.0" w:type="dxa"/>
          </w:tcMar>
          <w:vAlign w:val="center"/>
        </w:tcPr>
        <w:p w:rsidR="00000000" w:rsidDel="00000000" w:rsidP="00000000" w:rsidRDefault="00000000" w:rsidRPr="00000000" w14:paraId="0000010C">
          <w:pPr>
            <w:spacing w:after="0" w:line="240" w:lineRule="auto"/>
            <w:rPr>
              <w:rFonts w:ascii="Arial" w:cs="Arial" w:eastAsia="Arial" w:hAnsi="Arial"/>
              <w:sz w:val="24"/>
              <w:szCs w:val="24"/>
            </w:rPr>
          </w:pPr>
          <w:r w:rsidDel="00000000" w:rsidR="00000000" w:rsidRPr="00000000">
            <w:rPr>
              <w:rFonts w:ascii="Arial" w:cs="Arial" w:eastAsia="Arial" w:hAnsi="Arial"/>
              <w:b w:val="1"/>
              <w:sz w:val="16"/>
              <w:szCs w:val="16"/>
              <w:rtl w:val="0"/>
            </w:rPr>
            <w:t xml:space="preserve">Elaborado por:</w:t>
          </w:r>
          <w:r w:rsidDel="00000000" w:rsidR="00000000" w:rsidRPr="00000000">
            <w:rPr>
              <w:rFonts w:ascii="Arial" w:cs="Arial" w:eastAsia="Arial" w:hAnsi="Arial"/>
              <w:sz w:val="16"/>
              <w:szCs w:val="16"/>
              <w:rtl w:val="0"/>
            </w:rPr>
            <w:t xml:space="preserve"> Comité de Calidad - estudiantes de maestria</w:t>
          </w:r>
          <w:r w:rsidDel="00000000" w:rsidR="00000000" w:rsidRPr="00000000">
            <w:rPr>
              <w:rtl w:val="0"/>
            </w:rPr>
          </w:r>
        </w:p>
      </w:tc>
    </w:tr>
  </w:tbl>
  <w:p w:rsidR="00000000" w:rsidDel="00000000" w:rsidP="00000000" w:rsidRDefault="00000000" w:rsidRPr="00000000" w14:paraId="0000010D">
    <w:pPr>
      <w:tabs>
        <w:tab w:val="center" w:leader="none" w:pos="4252"/>
        <w:tab w:val="right" w:leader="none" w:pos="8504"/>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D46E2"/>
    <w:pPr>
      <w:spacing w:after="200" w:line="276" w:lineRule="auto"/>
    </w:pPr>
    <w:rPr>
      <w:rFonts w:cs="Times New Roman" w:eastAsiaTheme="minorEastAsia"/>
      <w:kern w:val="0"/>
      <w:lang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nhideWhenUsed w:val="1"/>
    <w:rsid w:val="000D46E2"/>
    <w:pPr>
      <w:tabs>
        <w:tab w:val="center" w:pos="4419"/>
        <w:tab w:val="right" w:pos="8838"/>
      </w:tabs>
      <w:spacing w:after="0" w:line="240" w:lineRule="auto"/>
    </w:pPr>
    <w:rPr>
      <w:rFonts w:cstheme="minorBidi" w:eastAsiaTheme="minorHAnsi"/>
      <w:kern w:val="2"/>
      <w:lang w:eastAsia="en-US" w:val="es-CO"/>
    </w:rPr>
  </w:style>
  <w:style w:type="character" w:styleId="EncabezadoCar" w:customStyle="1">
    <w:name w:val="Encabezado Car"/>
    <w:basedOn w:val="Fuentedeprrafopredeter"/>
    <w:link w:val="Encabezado"/>
    <w:rsid w:val="000D46E2"/>
  </w:style>
  <w:style w:type="paragraph" w:styleId="Piedepgina">
    <w:name w:val="footer"/>
    <w:basedOn w:val="Normal"/>
    <w:link w:val="PiedepginaCar"/>
    <w:uiPriority w:val="99"/>
    <w:unhideWhenUsed w:val="1"/>
    <w:rsid w:val="000D46E2"/>
    <w:pPr>
      <w:tabs>
        <w:tab w:val="center" w:pos="4419"/>
        <w:tab w:val="right" w:pos="8838"/>
      </w:tabs>
      <w:spacing w:after="0" w:line="240" w:lineRule="auto"/>
    </w:pPr>
    <w:rPr>
      <w:rFonts w:cstheme="minorBidi" w:eastAsiaTheme="minorHAnsi"/>
      <w:kern w:val="2"/>
      <w:lang w:eastAsia="en-US" w:val="es-CO"/>
    </w:rPr>
  </w:style>
  <w:style w:type="character" w:styleId="PiedepginaCar" w:customStyle="1">
    <w:name w:val="Pie de página Car"/>
    <w:basedOn w:val="Fuentedeprrafopredeter"/>
    <w:link w:val="Piedepgina"/>
    <w:uiPriority w:val="99"/>
    <w:rsid w:val="000D46E2"/>
  </w:style>
  <w:style w:type="paragraph" w:styleId="NormalWeb">
    <w:name w:val="Normal (Web)"/>
    <w:basedOn w:val="Normal"/>
    <w:uiPriority w:val="99"/>
    <w:rsid w:val="000D46E2"/>
    <w:pPr>
      <w:spacing w:after="100" w:afterAutospacing="1" w:before="100" w:beforeAutospacing="1" w:line="240" w:lineRule="auto"/>
    </w:pPr>
    <w:rPr>
      <w:rFonts w:ascii="Times New Roman" w:eastAsia="Times New Roman" w:hAnsi="Times New Roman"/>
      <w:sz w:val="24"/>
      <w:szCs w:val="24"/>
    </w:rPr>
  </w:style>
  <w:style w:type="table" w:styleId="Tablaconcuadrcula">
    <w:name w:val="Table Grid"/>
    <w:basedOn w:val="Tablanormal"/>
    <w:uiPriority w:val="39"/>
    <w:rsid w:val="009D480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fowlersalud.com/soporteHD/documentos/guias/MCP_01.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https://forms.gle/7mCvYeaEMvmrFqqE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Ic8UfqhIi67oNIrloM7JUBM5Ww==">CgMxLjA4AHIhMThxUHJHc3RYZl9tZFdKZ29mYXRCUjN0QjdLY1BoSnNt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2023-10-25T14:59:00Z</dcterms:created>
  <dc:creator>Usuario Jefe de Enfermeria</dc:creator>
</cp:coreProperties>
</file>