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D2B44" w14:textId="77777777" w:rsidR="00C55561" w:rsidRDefault="00C55561" w:rsidP="00C55561">
      <w:pPr>
        <w:spacing w:after="240"/>
        <w:jc w:val="center"/>
        <w:rPr>
          <w:b/>
          <w:highlight w:val="white"/>
        </w:rPr>
      </w:pPr>
      <w:r>
        <w:rPr>
          <w:b/>
          <w:highlight w:val="white"/>
        </w:rPr>
        <w:t>RESUMEN</w:t>
      </w:r>
    </w:p>
    <w:p w14:paraId="25E1CA10" w14:textId="77777777" w:rsidR="00C55561" w:rsidRDefault="00C55561" w:rsidP="00C55561">
      <w:pPr>
        <w:spacing w:after="240"/>
        <w:jc w:val="both"/>
        <w:rPr>
          <w:highlight w:val="white"/>
        </w:rPr>
      </w:pPr>
      <w:r>
        <w:rPr>
          <w:highlight w:val="white"/>
        </w:rPr>
        <w:t xml:space="preserve">La presente investigación tiene como objetivo preguntarse por el contenido político de la comida en búsqueda de analizar cómo esta resulta pertinente en el fortalecimiento de la acción educativa en la construcción de un sujeto emancipado y soberano en la escuela rural Ezequiel Sierra, sede Juan María Gallego. A partir de esto, se trata de indagar la manera en que la comida, tomada como aquel estructurante social que hace parte del universo simbólico de todas las formas de organización social, ha sido invisibilizada del currículo de la escuela rural colombiana, ignorando su potencial para la formación cultural y política en el mundo rural. Los principales hallazgos se centran en la resignificación de la relación que los estudiantes del grado séptimo han tenido con la comida, pasando de concebirla como un producto o mercancía para la producción en masa, dada  la vocación productiva de la vereda Guapante Abajo del Municipio de Guarne, donde se ubica dicha escuela, a asumirla desde su condición de sujetos políticos que se relacionan con conocimientos geográficos, históricos, culturales y económicos pertinentes a las condiciones cotidianas de su territorio con la comida como mediadora, generando ambientes y espacios formativos basados en la proximidad y la confianza, los cuales rompen con las dinámicas tradicionales del aula con miras a la construcción de un sentido de comunidad que represente un aporte para un apropiado ejercicio de la soberanía alimentaria.  </w:t>
      </w:r>
    </w:p>
    <w:p w14:paraId="57D71D46" w14:textId="774D0392" w:rsidR="00C55561" w:rsidRDefault="00C55561" w:rsidP="00C55561">
      <w:r>
        <w:rPr>
          <w:b/>
          <w:highlight w:val="white"/>
        </w:rPr>
        <w:t>Palabras claves:</w:t>
      </w:r>
      <w:r>
        <w:rPr>
          <w:highlight w:val="white"/>
        </w:rPr>
        <w:t xml:space="preserve"> Comida - Acción Educativa - Territorio - Sujeto político- Emancipación y Soberanía</w:t>
      </w:r>
    </w:p>
    <w:p w14:paraId="608EE43C" w14:textId="64D6B6B9" w:rsidR="00C55561" w:rsidRDefault="00C55561" w:rsidP="00C55561"/>
    <w:p w14:paraId="1C2CCAC0" w14:textId="7D6ADEAB" w:rsidR="00C55561" w:rsidRDefault="00C55561" w:rsidP="00C55561"/>
    <w:p w14:paraId="07ED4BCC" w14:textId="35818662" w:rsidR="00C55561" w:rsidRDefault="00C55561" w:rsidP="00C55561"/>
    <w:p w14:paraId="0FF84D9C" w14:textId="77777777" w:rsidR="00C55561" w:rsidRPr="00A1459D" w:rsidRDefault="00C55561" w:rsidP="00C55561">
      <w:pPr>
        <w:spacing w:after="240"/>
        <w:jc w:val="center"/>
        <w:rPr>
          <w:b/>
          <w:highlight w:val="white"/>
          <w:lang w:val="en-US"/>
        </w:rPr>
      </w:pPr>
      <w:r w:rsidRPr="00A1459D">
        <w:rPr>
          <w:b/>
          <w:highlight w:val="white"/>
          <w:lang w:val="en-US"/>
        </w:rPr>
        <w:lastRenderedPageBreak/>
        <w:t>ABSTRACT</w:t>
      </w:r>
    </w:p>
    <w:p w14:paraId="22F429E2" w14:textId="0866CA8F" w:rsidR="00C55561" w:rsidRPr="00C55561" w:rsidRDefault="00C55561" w:rsidP="00C55561">
      <w:pPr>
        <w:spacing w:before="240" w:after="240"/>
        <w:jc w:val="both"/>
        <w:rPr>
          <w:highlight w:val="white"/>
          <w:lang w:val="en-US"/>
        </w:rPr>
      </w:pPr>
      <w:r w:rsidRPr="00A1459D">
        <w:rPr>
          <w:highlight w:val="white"/>
          <w:lang w:val="en-US"/>
        </w:rPr>
        <w:t xml:space="preserve">The objective of this research is to formulate the question about the political content of the food in order to analyze how it is relevant in strengthening educational action in the construction of an emancipated and sovereign subject in the rural school Ezequiel Sierra, headquarters Juan María Gallego. Regarding this, it is a question of inquiring the way in which the food, taken as a social structuring that is part of the symbolic universe of all forms of social organization, has been made invisible in the curriculum of the Colombian school system, ignoring its potential for cultural and political education in the rural world. The main findings of this paper focus on the resignification of the relationship that seventh grade students have had with the food, moving from conceiving it as a product or merchandise for mass production, given the productive vocation of the Guapante Abajo district of the Municipality of </w:t>
      </w:r>
      <w:proofErr w:type="spellStart"/>
      <w:r w:rsidRPr="00A1459D">
        <w:rPr>
          <w:highlight w:val="white"/>
          <w:lang w:val="en-US"/>
        </w:rPr>
        <w:t>Guarne</w:t>
      </w:r>
      <w:proofErr w:type="spellEnd"/>
      <w:r w:rsidRPr="00A1459D">
        <w:rPr>
          <w:highlight w:val="white"/>
          <w:lang w:val="en-US"/>
        </w:rPr>
        <w:t xml:space="preserve"> where said school is located, to assume it from their condition as political subjects that are related to geographic, historical, cultural and economic knowledge relevant to the daily conditions of their territory with the food as mediator, generating formative environments and spaces based on proximity and trust, which breaks with the traditional dynamics of the classroom, with a view to building a sense of community that represents a contribution to an appropriate exercise of food sovereignty</w:t>
      </w:r>
      <w:r>
        <w:rPr>
          <w:highlight w:val="white"/>
          <w:lang w:val="en-US"/>
        </w:rPr>
        <w:t>.</w:t>
      </w:r>
    </w:p>
    <w:p w14:paraId="450D3D0F" w14:textId="6A758E96" w:rsidR="00C55561" w:rsidRDefault="00C55561" w:rsidP="00C55561">
      <w:pPr>
        <w:rPr>
          <w:lang w:val="en-US"/>
        </w:rPr>
      </w:pPr>
      <w:r w:rsidRPr="00A1459D">
        <w:rPr>
          <w:b/>
          <w:highlight w:val="white"/>
          <w:lang w:val="en-US"/>
        </w:rPr>
        <w:t xml:space="preserve">Key words: </w:t>
      </w:r>
      <w:r w:rsidRPr="00A1459D">
        <w:rPr>
          <w:highlight w:val="white"/>
          <w:lang w:val="en-US"/>
        </w:rPr>
        <w:t>Food - Educational action - Territory - Political subject,</w:t>
      </w:r>
      <w:r w:rsidRPr="00A1459D">
        <w:rPr>
          <w:lang w:val="en-US"/>
        </w:rPr>
        <w:t xml:space="preserve"> emancipation, sovereignty</w:t>
      </w:r>
    </w:p>
    <w:p w14:paraId="3AEC0B00" w14:textId="0C6ED82B" w:rsidR="00C55561" w:rsidRDefault="00C55561" w:rsidP="00C55561">
      <w:pPr>
        <w:rPr>
          <w:lang w:val="en-US"/>
        </w:rPr>
      </w:pPr>
    </w:p>
    <w:p w14:paraId="1367A2F2" w14:textId="09E2CFAC" w:rsidR="00C55561" w:rsidRDefault="00C55561" w:rsidP="00C55561">
      <w:pPr>
        <w:rPr>
          <w:lang w:val="en-US"/>
        </w:rPr>
      </w:pPr>
    </w:p>
    <w:p w14:paraId="5D459DF9" w14:textId="52CA44E7" w:rsidR="00C55561" w:rsidRDefault="00C55561" w:rsidP="00C55561">
      <w:pPr>
        <w:rPr>
          <w:lang w:val="en-US"/>
        </w:rPr>
      </w:pPr>
    </w:p>
    <w:p w14:paraId="34C23DE4" w14:textId="1ACD23DB" w:rsidR="00C55561" w:rsidRDefault="00C55561" w:rsidP="00C55561">
      <w:pPr>
        <w:rPr>
          <w:lang w:val="en-US"/>
        </w:rPr>
      </w:pPr>
    </w:p>
    <w:p w14:paraId="11528CCD" w14:textId="77777777" w:rsidR="00C55561" w:rsidRDefault="00C55561" w:rsidP="00C55561">
      <w:pPr>
        <w:spacing w:after="240"/>
        <w:jc w:val="center"/>
        <w:rPr>
          <w:b/>
          <w:sz w:val="52"/>
          <w:szCs w:val="52"/>
        </w:rPr>
      </w:pPr>
      <w:r>
        <w:rPr>
          <w:b/>
          <w:sz w:val="52"/>
          <w:szCs w:val="52"/>
        </w:rPr>
        <w:lastRenderedPageBreak/>
        <w:t>Contenido</w:t>
      </w:r>
    </w:p>
    <w:p w14:paraId="26F04660" w14:textId="77777777" w:rsidR="00C55561" w:rsidRDefault="00C55561" w:rsidP="00C55561">
      <w:pPr>
        <w:jc w:val="both"/>
        <w:rPr>
          <w:b/>
        </w:rPr>
      </w:pPr>
      <w:r>
        <w:rPr>
          <w:b/>
        </w:rPr>
        <w:t>Resumen                                                                                                                               VII</w:t>
      </w:r>
    </w:p>
    <w:p w14:paraId="6AC8A9AA" w14:textId="77777777" w:rsidR="00C55561" w:rsidRDefault="00C55561" w:rsidP="00C55561">
      <w:pPr>
        <w:jc w:val="both"/>
        <w:rPr>
          <w:b/>
        </w:rPr>
      </w:pPr>
      <w:r>
        <w:rPr>
          <w:b/>
        </w:rPr>
        <w:t>Introducción                                                                                                                               XI</w:t>
      </w:r>
    </w:p>
    <w:p w14:paraId="2F21C1F7" w14:textId="77777777" w:rsidR="00C55561" w:rsidRDefault="00C55561" w:rsidP="00C55561">
      <w:pPr>
        <w:jc w:val="both"/>
        <w:rPr>
          <w:b/>
        </w:rPr>
      </w:pPr>
      <w:r>
        <w:rPr>
          <w:b/>
        </w:rPr>
        <w:t>Planteamiento del problema                                                                                               1</w:t>
      </w:r>
    </w:p>
    <w:p w14:paraId="3D1AE717" w14:textId="77777777" w:rsidR="00C55561" w:rsidRDefault="00C55561" w:rsidP="00C55561">
      <w:pPr>
        <w:ind w:left="720"/>
        <w:jc w:val="both"/>
      </w:pPr>
      <w:r>
        <w:t>Pregunta de investigación                                                                                        1</w:t>
      </w:r>
    </w:p>
    <w:p w14:paraId="4C202656" w14:textId="77777777" w:rsidR="00C55561" w:rsidRDefault="00C55561" w:rsidP="00C55561">
      <w:pPr>
        <w:ind w:left="720"/>
        <w:jc w:val="both"/>
      </w:pPr>
      <w:r>
        <w:t>Objetivos                                                                                                                     1</w:t>
      </w:r>
    </w:p>
    <w:p w14:paraId="086B87F0" w14:textId="77777777" w:rsidR="00C55561" w:rsidRDefault="00C55561" w:rsidP="00C55561">
      <w:pPr>
        <w:ind w:left="720"/>
        <w:jc w:val="both"/>
      </w:pPr>
      <w:r>
        <w:t>Cronograma de actividades                                                                                      2</w:t>
      </w:r>
    </w:p>
    <w:p w14:paraId="204ABBBC" w14:textId="77777777" w:rsidR="00C55561" w:rsidRDefault="00C55561" w:rsidP="00C55561">
      <w:pPr>
        <w:ind w:left="720"/>
        <w:jc w:val="both"/>
      </w:pPr>
      <w:r>
        <w:t>Contextualización                                                                                                    3</w:t>
      </w:r>
    </w:p>
    <w:p w14:paraId="6E10E1F4" w14:textId="77777777" w:rsidR="00C55561" w:rsidRDefault="00C55561" w:rsidP="00C55561">
      <w:pPr>
        <w:ind w:left="720"/>
        <w:jc w:val="both"/>
      </w:pPr>
      <w:r>
        <w:t>Planteamiento del problema                                                                                    10</w:t>
      </w:r>
    </w:p>
    <w:p w14:paraId="18B9327F" w14:textId="77777777" w:rsidR="00C55561" w:rsidRDefault="00C55561" w:rsidP="00C55561">
      <w:pPr>
        <w:ind w:left="720"/>
        <w:jc w:val="both"/>
      </w:pPr>
      <w:r>
        <w:t>Justificación                                                                                                             12</w:t>
      </w:r>
    </w:p>
    <w:p w14:paraId="13D2F87F" w14:textId="77777777" w:rsidR="00C55561" w:rsidRDefault="00C55561" w:rsidP="00C55561">
      <w:pPr>
        <w:ind w:left="720"/>
        <w:jc w:val="both"/>
      </w:pPr>
      <w:r>
        <w:t>Antecedentes                                                                                                         16</w:t>
      </w:r>
    </w:p>
    <w:p w14:paraId="1F93E91F" w14:textId="77777777" w:rsidR="00C55561" w:rsidRDefault="00C55561" w:rsidP="00C55561">
      <w:pPr>
        <w:jc w:val="both"/>
        <w:rPr>
          <w:b/>
        </w:rPr>
      </w:pPr>
      <w:r>
        <w:rPr>
          <w:b/>
        </w:rPr>
        <w:t>Marco Teórico                                                                                                                     21</w:t>
      </w:r>
    </w:p>
    <w:p w14:paraId="0862FA98" w14:textId="77777777" w:rsidR="00C55561" w:rsidRDefault="00C55561" w:rsidP="00C55561">
      <w:pPr>
        <w:ind w:left="720"/>
        <w:jc w:val="both"/>
      </w:pPr>
      <w:r>
        <w:t>La Comida                                                                                                             21</w:t>
      </w:r>
    </w:p>
    <w:p w14:paraId="583452C3" w14:textId="77777777" w:rsidR="00C55561" w:rsidRDefault="00C55561" w:rsidP="00C55561">
      <w:pPr>
        <w:ind w:left="720"/>
        <w:jc w:val="both"/>
      </w:pPr>
      <w:r>
        <w:t>Sujeto Político                                                                                                        26</w:t>
      </w:r>
    </w:p>
    <w:p w14:paraId="6A57EFDC" w14:textId="77777777" w:rsidR="00C55561" w:rsidRDefault="00C55561" w:rsidP="00C55561">
      <w:pPr>
        <w:ind w:left="720"/>
        <w:jc w:val="both"/>
      </w:pPr>
      <w:r>
        <w:t>Acción Educativa                                                                                                   29</w:t>
      </w:r>
    </w:p>
    <w:p w14:paraId="4A99AFC6" w14:textId="77777777" w:rsidR="00C55561" w:rsidRDefault="00C55561" w:rsidP="00C55561">
      <w:pPr>
        <w:ind w:left="720"/>
        <w:jc w:val="both"/>
      </w:pPr>
      <w:r>
        <w:t>Emancipación y Soberanía                                                                                     34</w:t>
      </w:r>
    </w:p>
    <w:p w14:paraId="04F92B81" w14:textId="77777777" w:rsidR="00C55561" w:rsidRDefault="00C55561" w:rsidP="00C55561">
      <w:pPr>
        <w:jc w:val="both"/>
        <w:rPr>
          <w:b/>
        </w:rPr>
      </w:pPr>
      <w:r>
        <w:rPr>
          <w:b/>
        </w:rPr>
        <w:t>Métodos e Instrumentos                                                                                                                  39</w:t>
      </w:r>
    </w:p>
    <w:p w14:paraId="6606AEE8" w14:textId="77777777" w:rsidR="00C55561" w:rsidRDefault="00C55561" w:rsidP="00C55561">
      <w:pPr>
        <w:ind w:left="720"/>
        <w:jc w:val="both"/>
      </w:pPr>
      <w:r>
        <w:t>Metodología                                                                                                          39</w:t>
      </w:r>
    </w:p>
    <w:p w14:paraId="2970D938" w14:textId="77777777" w:rsidR="00C55561" w:rsidRDefault="00C55561" w:rsidP="00C55561">
      <w:pPr>
        <w:ind w:left="720"/>
        <w:jc w:val="both"/>
      </w:pPr>
      <w:r>
        <w:t>Relación Tutor/Tutorado                                                                                       46</w:t>
      </w:r>
    </w:p>
    <w:p w14:paraId="6949F223" w14:textId="77777777" w:rsidR="00C55561" w:rsidRDefault="00C55561" w:rsidP="00C55561">
      <w:pPr>
        <w:ind w:left="720"/>
        <w:jc w:val="both"/>
      </w:pPr>
      <w:r>
        <w:t>Cocina como Laboratorio                                                                                        47</w:t>
      </w:r>
    </w:p>
    <w:p w14:paraId="54DB1CC7" w14:textId="77777777" w:rsidR="00C55561" w:rsidRDefault="00C55561" w:rsidP="00C55561">
      <w:pPr>
        <w:ind w:left="720"/>
        <w:jc w:val="both"/>
      </w:pPr>
      <w:r>
        <w:t>Taller                                                                                                                      47</w:t>
      </w:r>
    </w:p>
    <w:p w14:paraId="74EBE5FE" w14:textId="77777777" w:rsidR="00C55561" w:rsidRDefault="00C55561" w:rsidP="00C55561">
      <w:pPr>
        <w:ind w:left="720"/>
        <w:jc w:val="both"/>
        <w:rPr>
          <w:color w:val="000000"/>
        </w:rPr>
      </w:pPr>
      <w:r>
        <w:rPr>
          <w:color w:val="000000"/>
        </w:rPr>
        <w:t>Recorrido Territorial                                                                                              48</w:t>
      </w:r>
    </w:p>
    <w:p w14:paraId="18E32A1A" w14:textId="77777777" w:rsidR="00C55561" w:rsidRDefault="00C55561" w:rsidP="00C55561">
      <w:pPr>
        <w:ind w:left="720"/>
        <w:jc w:val="both"/>
        <w:rPr>
          <w:color w:val="000000"/>
        </w:rPr>
      </w:pPr>
      <w:r>
        <w:rPr>
          <w:color w:val="000000"/>
        </w:rPr>
        <w:lastRenderedPageBreak/>
        <w:t>Grupo Focal                                                                                                               49</w:t>
      </w:r>
    </w:p>
    <w:p w14:paraId="5DD2DF6A" w14:textId="77777777" w:rsidR="00C55561" w:rsidRDefault="00C55561" w:rsidP="00C55561">
      <w:pPr>
        <w:ind w:left="720"/>
        <w:jc w:val="both"/>
        <w:rPr>
          <w:color w:val="000000"/>
        </w:rPr>
      </w:pPr>
      <w:r>
        <w:rPr>
          <w:color w:val="000000"/>
        </w:rPr>
        <w:t>Análisis y lectura de imágenes                                                                               49</w:t>
      </w:r>
    </w:p>
    <w:p w14:paraId="7DD1D9A5" w14:textId="77777777" w:rsidR="00C55561" w:rsidRDefault="00C55561" w:rsidP="00C55561">
      <w:pPr>
        <w:ind w:left="720"/>
        <w:jc w:val="both"/>
        <w:rPr>
          <w:color w:val="000000"/>
        </w:rPr>
      </w:pPr>
      <w:r>
        <w:rPr>
          <w:color w:val="000000"/>
        </w:rPr>
        <w:t>Revisión Documental                                                                                              50</w:t>
      </w:r>
    </w:p>
    <w:p w14:paraId="76977D9C" w14:textId="77777777" w:rsidR="00C55561" w:rsidRDefault="00C55561" w:rsidP="00C55561">
      <w:pPr>
        <w:ind w:left="720"/>
        <w:jc w:val="both"/>
        <w:rPr>
          <w:color w:val="000000"/>
        </w:rPr>
      </w:pPr>
      <w:r>
        <w:rPr>
          <w:color w:val="000000"/>
        </w:rPr>
        <w:t>Desarrollos Didácticos                                                                                               50</w:t>
      </w:r>
    </w:p>
    <w:p w14:paraId="2CBAAE74" w14:textId="77777777" w:rsidR="00C55561" w:rsidRPr="00F90EDD" w:rsidRDefault="00C55561" w:rsidP="00C55561">
      <w:pPr>
        <w:spacing w:before="240" w:after="240"/>
        <w:rPr>
          <w:b/>
        </w:rPr>
      </w:pPr>
      <w:r>
        <w:rPr>
          <w:b/>
        </w:rPr>
        <w:t>Hallazgos, resultados y discusiones                                                                               51</w:t>
      </w:r>
    </w:p>
    <w:p w14:paraId="10C35775" w14:textId="77777777" w:rsidR="00C55561" w:rsidRDefault="00C55561" w:rsidP="00C55561">
      <w:pPr>
        <w:jc w:val="both"/>
      </w:pPr>
      <w:r>
        <w:t>Reconstruyendo la noción de comida para la formación de un sujeto soberano</w:t>
      </w:r>
    </w:p>
    <w:p w14:paraId="30FEE9A3" w14:textId="77777777" w:rsidR="00C55561" w:rsidRDefault="00C55561" w:rsidP="00C55561">
      <w:pPr>
        <w:jc w:val="both"/>
      </w:pPr>
      <w:r>
        <w:t>y emancipado en la escuela rural: De la comida como mercancía a la comida como base</w:t>
      </w:r>
    </w:p>
    <w:p w14:paraId="3E55ECA7" w14:textId="77777777" w:rsidR="00C55561" w:rsidRDefault="00C55561" w:rsidP="00C55561">
      <w:pPr>
        <w:jc w:val="both"/>
      </w:pPr>
      <w:r>
        <w:t>social, cultural y territorial                                                                                                   51</w:t>
      </w:r>
    </w:p>
    <w:p w14:paraId="0164A5BA" w14:textId="77777777" w:rsidR="00C55561" w:rsidRDefault="00C55561" w:rsidP="00C55561">
      <w:pPr>
        <w:ind w:left="284" w:firstLine="0"/>
        <w:jc w:val="both"/>
      </w:pPr>
      <w:r>
        <w:t>La cocina como laboratorio frente al restaurante escolar: la formación de un sujeto político para la ruralidad                                                                                                                  79</w:t>
      </w:r>
    </w:p>
    <w:p w14:paraId="0D3688FF" w14:textId="77777777" w:rsidR="00C55561" w:rsidRDefault="00C55561" w:rsidP="00C55561">
      <w:pPr>
        <w:ind w:left="284" w:firstLine="0"/>
        <w:jc w:val="both"/>
      </w:pPr>
      <w:r>
        <w:t>La acción educativa a través de la comida en la formación de sujetos emancipados y comunidades soberanas                                                                                                       104</w:t>
      </w:r>
    </w:p>
    <w:p w14:paraId="00324980" w14:textId="77777777" w:rsidR="00C55561" w:rsidRDefault="00C55561" w:rsidP="00C55561">
      <w:pPr>
        <w:jc w:val="both"/>
        <w:rPr>
          <w:b/>
        </w:rPr>
      </w:pPr>
      <w:r>
        <w:rPr>
          <w:b/>
        </w:rPr>
        <w:t>Consideraciones finales                                                                                                  133</w:t>
      </w:r>
    </w:p>
    <w:p w14:paraId="243A6E95" w14:textId="77777777" w:rsidR="00C55561" w:rsidRDefault="00C55561" w:rsidP="00C55561">
      <w:pPr>
        <w:jc w:val="both"/>
        <w:rPr>
          <w:b/>
        </w:rPr>
      </w:pPr>
      <w:r>
        <w:rPr>
          <w:b/>
        </w:rPr>
        <w:t>Consideraciones éticas                                                                                                   136</w:t>
      </w:r>
    </w:p>
    <w:p w14:paraId="70B1195D" w14:textId="77777777" w:rsidR="00C55561" w:rsidRDefault="00C55561" w:rsidP="00C55561">
      <w:pPr>
        <w:jc w:val="both"/>
        <w:rPr>
          <w:b/>
        </w:rPr>
      </w:pPr>
      <w:r>
        <w:rPr>
          <w:b/>
        </w:rPr>
        <w:t>Referencias                                                                                                                      138</w:t>
      </w:r>
    </w:p>
    <w:p w14:paraId="55270373" w14:textId="77777777" w:rsidR="00C55561" w:rsidRDefault="00C55561" w:rsidP="00C55561">
      <w:pPr>
        <w:jc w:val="both"/>
        <w:rPr>
          <w:b/>
        </w:rPr>
      </w:pPr>
      <w:r>
        <w:rPr>
          <w:b/>
        </w:rPr>
        <w:t>Lista de tablas                                                                                                                    143</w:t>
      </w:r>
    </w:p>
    <w:p w14:paraId="54BC4258" w14:textId="77777777" w:rsidR="00C55561" w:rsidRDefault="00C55561" w:rsidP="00C55561">
      <w:pPr>
        <w:jc w:val="both"/>
        <w:rPr>
          <w:b/>
        </w:rPr>
      </w:pPr>
      <w:r>
        <w:rPr>
          <w:b/>
        </w:rPr>
        <w:t>Lista de ilustraciones                                                                                                        144</w:t>
      </w:r>
    </w:p>
    <w:p w14:paraId="4AE53BBC" w14:textId="77777777" w:rsidR="00C55561" w:rsidRPr="00C55561" w:rsidRDefault="00C55561" w:rsidP="00C55561"/>
    <w:sectPr w:rsidR="00C55561" w:rsidRPr="00C555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61"/>
    <w:rsid w:val="00C55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963E"/>
  <w15:chartTrackingRefBased/>
  <w15:docId w15:val="{8A73F2FE-73B9-435E-A51D-621C6A30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61"/>
    <w:pPr>
      <w:spacing w:after="0" w:line="480" w:lineRule="auto"/>
      <w:ind w:firstLine="284"/>
    </w:pPr>
    <w:rPr>
      <w:rFonts w:ascii="Times New Roman" w:eastAsia="Times New Roman" w:hAnsi="Times New Roman" w:cs="Times New Roman"/>
      <w:sz w:val="24"/>
      <w:szCs w:val="24"/>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1182</Words>
  <Characters>6507</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Andrés Cano Barreto</dc:creator>
  <cp:keywords/>
  <dc:description/>
  <cp:lastModifiedBy>Fabio Andrés Cano Barreto</cp:lastModifiedBy>
  <cp:revision>1</cp:revision>
  <dcterms:created xsi:type="dcterms:W3CDTF">2020-08-14T15:44:00Z</dcterms:created>
  <dcterms:modified xsi:type="dcterms:W3CDTF">2020-08-14T15:49:00Z</dcterms:modified>
</cp:coreProperties>
</file>