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FD5" w14:textId="4AFF7EAF" w:rsidR="000B34DF" w:rsidRDefault="5141EA98" w:rsidP="003E506E">
      <w:pPr>
        <w:spacing w:line="240" w:lineRule="auto"/>
        <w:jc w:val="both"/>
        <w:rPr>
          <w:rFonts w:ascii="Arial" w:eastAsia="Arial" w:hAnsi="Arial" w:cs="Arial"/>
          <w:b/>
          <w:bCs/>
          <w:color w:val="000000" w:themeColor="text1"/>
          <w:sz w:val="24"/>
          <w:szCs w:val="24"/>
          <w:lang w:val="es-CO"/>
        </w:rPr>
      </w:pPr>
      <w:bookmarkStart w:id="0" w:name="_Hlk83847330"/>
      <w:bookmarkEnd w:id="0"/>
      <w:r w:rsidRPr="005D3494">
        <w:rPr>
          <w:rFonts w:ascii="Arial" w:eastAsia="Arial" w:hAnsi="Arial" w:cs="Arial"/>
          <w:b/>
          <w:bCs/>
          <w:color w:val="000000" w:themeColor="text1"/>
          <w:sz w:val="24"/>
          <w:szCs w:val="24"/>
          <w:lang w:val="es-CO"/>
        </w:rPr>
        <w:t>Eficacia de la combinación rifapentina</w:t>
      </w:r>
      <w:r w:rsidR="008175C2">
        <w:rPr>
          <w:rFonts w:ascii="Arial" w:eastAsia="Arial" w:hAnsi="Arial" w:cs="Arial"/>
          <w:b/>
          <w:bCs/>
          <w:color w:val="000000" w:themeColor="text1"/>
          <w:sz w:val="24"/>
          <w:szCs w:val="24"/>
          <w:lang w:val="es-CO"/>
        </w:rPr>
        <w:t>/</w:t>
      </w:r>
      <w:r w:rsidRPr="005D3494">
        <w:rPr>
          <w:rFonts w:ascii="Arial" w:eastAsia="Arial" w:hAnsi="Arial" w:cs="Arial"/>
          <w:b/>
          <w:bCs/>
          <w:color w:val="000000" w:themeColor="text1"/>
          <w:sz w:val="24"/>
          <w:szCs w:val="24"/>
          <w:lang w:val="es-CO"/>
        </w:rPr>
        <w:t xml:space="preserve">isoniazida en comparación con la monoterapia </w:t>
      </w:r>
      <w:r w:rsidR="008A3AD6">
        <w:rPr>
          <w:rFonts w:ascii="Arial" w:eastAsia="Arial" w:hAnsi="Arial" w:cs="Arial"/>
          <w:b/>
          <w:bCs/>
          <w:color w:val="000000" w:themeColor="text1"/>
          <w:sz w:val="24"/>
          <w:szCs w:val="24"/>
          <w:lang w:val="es-CO"/>
        </w:rPr>
        <w:t>con</w:t>
      </w:r>
      <w:r w:rsidR="008A3AD6" w:rsidRPr="005D3494">
        <w:rPr>
          <w:rFonts w:ascii="Arial" w:eastAsia="Arial" w:hAnsi="Arial" w:cs="Arial"/>
          <w:b/>
          <w:bCs/>
          <w:color w:val="000000" w:themeColor="text1"/>
          <w:sz w:val="24"/>
          <w:szCs w:val="24"/>
          <w:lang w:val="es-CO"/>
        </w:rPr>
        <w:t xml:space="preserve"> </w:t>
      </w:r>
      <w:r w:rsidRPr="005D3494">
        <w:rPr>
          <w:rFonts w:ascii="Arial" w:eastAsia="Arial" w:hAnsi="Arial" w:cs="Arial"/>
          <w:b/>
          <w:bCs/>
          <w:color w:val="000000" w:themeColor="text1"/>
          <w:sz w:val="24"/>
          <w:szCs w:val="24"/>
          <w:lang w:val="es-CO"/>
        </w:rPr>
        <w:t xml:space="preserve">isoniazida para prevenir la tuberculosis activa en personas con inmunodepresión secundaria: revisión sistemática </w:t>
      </w:r>
      <w:r w:rsidR="00494DD6">
        <w:rPr>
          <w:rFonts w:ascii="Arial" w:eastAsia="Arial" w:hAnsi="Arial" w:cs="Arial"/>
          <w:b/>
          <w:bCs/>
          <w:color w:val="000000" w:themeColor="text1"/>
          <w:sz w:val="24"/>
          <w:szCs w:val="24"/>
          <w:lang w:val="es-CO"/>
        </w:rPr>
        <w:t>de la literatura y</w:t>
      </w:r>
      <w:r w:rsidRPr="005D3494">
        <w:rPr>
          <w:rFonts w:ascii="Arial" w:eastAsia="Arial" w:hAnsi="Arial" w:cs="Arial"/>
          <w:b/>
          <w:bCs/>
          <w:color w:val="000000" w:themeColor="text1"/>
          <w:sz w:val="24"/>
          <w:szCs w:val="24"/>
          <w:lang w:val="es-CO"/>
        </w:rPr>
        <w:t xml:space="preserve"> metaanálisis</w:t>
      </w:r>
      <w:r w:rsidR="003E506E">
        <w:rPr>
          <w:rFonts w:ascii="Arial" w:eastAsia="Arial" w:hAnsi="Arial" w:cs="Arial"/>
          <w:b/>
          <w:bCs/>
          <w:color w:val="000000" w:themeColor="text1"/>
          <w:sz w:val="24"/>
          <w:szCs w:val="24"/>
          <w:lang w:val="es-CO"/>
        </w:rPr>
        <w:t>.</w:t>
      </w:r>
    </w:p>
    <w:p w14:paraId="32DA9B8C" w14:textId="55E8472D" w:rsidR="003E506E" w:rsidRPr="004D4A86" w:rsidRDefault="003E506E" w:rsidP="003E506E">
      <w:pPr>
        <w:jc w:val="both"/>
        <w:rPr>
          <w:rFonts w:ascii="Arial" w:hAnsi="Arial" w:cs="Arial"/>
          <w:sz w:val="24"/>
          <w:szCs w:val="24"/>
          <w:lang w:val="en-US"/>
        </w:rPr>
      </w:pPr>
      <w:r w:rsidRPr="004D4A86">
        <w:rPr>
          <w:rFonts w:ascii="Arial" w:hAnsi="Arial" w:cs="Arial"/>
          <w:sz w:val="24"/>
          <w:szCs w:val="24"/>
          <w:lang w:val="en-US"/>
        </w:rPr>
        <w:t>Efficacy of the rifapentine-isoniazid combination compared to isoniazid monotherapy to prevent active tuberculosis in people with secondary immunosuppression: a systematic review</w:t>
      </w:r>
      <w:r>
        <w:rPr>
          <w:rFonts w:ascii="Arial" w:hAnsi="Arial" w:cs="Arial"/>
          <w:sz w:val="24"/>
          <w:szCs w:val="24"/>
          <w:lang w:val="en-US"/>
        </w:rPr>
        <w:t xml:space="preserve"> and meta-analysis.</w:t>
      </w:r>
    </w:p>
    <w:p w14:paraId="55F4FEAA" w14:textId="77777777" w:rsidR="003E506E" w:rsidRPr="005D3494" w:rsidRDefault="003E506E" w:rsidP="15B36052">
      <w:pPr>
        <w:spacing w:line="240" w:lineRule="auto"/>
        <w:jc w:val="center"/>
        <w:rPr>
          <w:rFonts w:ascii="Arial" w:eastAsia="Arial" w:hAnsi="Arial" w:cs="Arial"/>
          <w:b/>
          <w:bCs/>
          <w:color w:val="000000" w:themeColor="text1"/>
          <w:sz w:val="24"/>
          <w:szCs w:val="24"/>
          <w:lang w:val="es-CO"/>
        </w:rPr>
      </w:pPr>
    </w:p>
    <w:p w14:paraId="41E0CCBD" w14:textId="28E32924" w:rsidR="000B34DF" w:rsidRDefault="5141EA98" w:rsidP="15B36052">
      <w:pPr>
        <w:spacing w:line="240" w:lineRule="auto"/>
        <w:jc w:val="both"/>
        <w:rPr>
          <w:rFonts w:ascii="Arial" w:eastAsia="Arial" w:hAnsi="Arial" w:cs="Arial"/>
          <w:color w:val="000000" w:themeColor="text1"/>
          <w:sz w:val="24"/>
          <w:szCs w:val="24"/>
          <w:lang w:val="es-CO"/>
        </w:rPr>
      </w:pPr>
      <w:r w:rsidRPr="005D3494">
        <w:rPr>
          <w:rFonts w:ascii="Arial" w:eastAsia="Arial" w:hAnsi="Arial" w:cs="Arial"/>
          <w:color w:val="000000" w:themeColor="text1"/>
          <w:sz w:val="24"/>
          <w:szCs w:val="24"/>
          <w:lang w:val="es-CO"/>
        </w:rPr>
        <w:t xml:space="preserve"> </w:t>
      </w:r>
    </w:p>
    <w:p w14:paraId="10A87C52" w14:textId="00388102" w:rsidR="000B34DF" w:rsidRDefault="5141EA98" w:rsidP="15B36052">
      <w:pPr>
        <w:spacing w:line="240" w:lineRule="auto"/>
        <w:jc w:val="both"/>
        <w:rPr>
          <w:rFonts w:ascii="Arial" w:eastAsia="Arial" w:hAnsi="Arial" w:cs="Arial"/>
          <w:b/>
          <w:bCs/>
          <w:color w:val="000000" w:themeColor="text1"/>
          <w:sz w:val="24"/>
          <w:szCs w:val="24"/>
          <w:lang w:val="es-CO"/>
        </w:rPr>
      </w:pPr>
      <w:r w:rsidRPr="005D3494">
        <w:rPr>
          <w:rFonts w:ascii="Arial" w:eastAsia="Arial" w:hAnsi="Arial" w:cs="Arial"/>
          <w:color w:val="000000" w:themeColor="text1"/>
          <w:sz w:val="24"/>
          <w:szCs w:val="24"/>
          <w:lang w:val="es-CO"/>
        </w:rPr>
        <w:t xml:space="preserve">  </w:t>
      </w:r>
      <w:r w:rsidR="00720DAE">
        <w:rPr>
          <w:rFonts w:ascii="Arial" w:eastAsia="Arial" w:hAnsi="Arial" w:cs="Arial"/>
          <w:color w:val="000000" w:themeColor="text1"/>
          <w:sz w:val="24"/>
          <w:szCs w:val="24"/>
          <w:lang w:val="es-CO"/>
        </w:rPr>
        <w:t xml:space="preserve"> </w:t>
      </w:r>
      <w:r w:rsidRPr="005D3494">
        <w:rPr>
          <w:rFonts w:ascii="Arial" w:eastAsia="Arial" w:hAnsi="Arial" w:cs="Arial"/>
          <w:b/>
          <w:bCs/>
          <w:color w:val="000000" w:themeColor="text1"/>
          <w:sz w:val="24"/>
          <w:szCs w:val="24"/>
          <w:lang w:val="es-CO"/>
        </w:rPr>
        <w:t xml:space="preserve"> </w:t>
      </w:r>
    </w:p>
    <w:p w14:paraId="3D63401F" w14:textId="6E0C0ADE" w:rsidR="000B34DF"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Marco</w:t>
      </w:r>
      <w:r w:rsidR="003E506E" w:rsidRPr="003E506E">
        <w:rPr>
          <w:rFonts w:ascii="Arial" w:eastAsia="Arial" w:hAnsi="Arial" w:cs="Arial"/>
          <w:color w:val="000000" w:themeColor="text1"/>
          <w:sz w:val="24"/>
          <w:szCs w:val="24"/>
          <w:lang w:val="es-CO"/>
        </w:rPr>
        <w:t xml:space="preserve"> Jesus</w:t>
      </w:r>
      <w:r w:rsidRPr="003E506E">
        <w:rPr>
          <w:rFonts w:ascii="Arial" w:eastAsia="Arial" w:hAnsi="Arial" w:cs="Arial"/>
          <w:color w:val="000000" w:themeColor="text1"/>
          <w:sz w:val="24"/>
          <w:szCs w:val="24"/>
          <w:lang w:val="es-CO"/>
        </w:rPr>
        <w:t xml:space="preserve"> Niño </w:t>
      </w:r>
      <w:r w:rsidR="003E506E" w:rsidRPr="003E506E">
        <w:rPr>
          <w:rFonts w:ascii="Arial" w:eastAsia="Arial" w:hAnsi="Arial" w:cs="Arial"/>
          <w:color w:val="000000" w:themeColor="text1"/>
          <w:sz w:val="24"/>
          <w:szCs w:val="24"/>
          <w:lang w:val="es-CO"/>
        </w:rPr>
        <w:t xml:space="preserve">Albarracin </w:t>
      </w:r>
      <w:r w:rsidRPr="003E506E">
        <w:rPr>
          <w:rFonts w:ascii="Arial" w:eastAsia="Arial" w:hAnsi="Arial" w:cs="Arial"/>
          <w:color w:val="000000" w:themeColor="text1"/>
          <w:sz w:val="24"/>
          <w:szCs w:val="24"/>
          <w:lang w:val="es-CO"/>
        </w:rPr>
        <w:t>MD</w:t>
      </w:r>
    </w:p>
    <w:p w14:paraId="171E4B39" w14:textId="77777777" w:rsidR="00E32AB9" w:rsidRPr="003E506E" w:rsidRDefault="00E32AB9" w:rsidP="00E32AB9">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Katsner Etienne MD</w:t>
      </w:r>
    </w:p>
    <w:p w14:paraId="5F09D431" w14:textId="77777777" w:rsidR="00E32AB9" w:rsidRPr="003E506E" w:rsidRDefault="00E32AB9" w:rsidP="15B36052">
      <w:pPr>
        <w:spacing w:after="0" w:line="240" w:lineRule="auto"/>
        <w:jc w:val="center"/>
        <w:rPr>
          <w:rFonts w:ascii="Arial" w:eastAsia="Arial" w:hAnsi="Arial" w:cs="Arial"/>
          <w:color w:val="000000" w:themeColor="text1"/>
          <w:sz w:val="24"/>
          <w:szCs w:val="24"/>
          <w:lang w:val="es-CO"/>
        </w:rPr>
      </w:pPr>
    </w:p>
    <w:p w14:paraId="6429E4A4" w14:textId="77777777" w:rsidR="003E506E" w:rsidRPr="003E506E" w:rsidRDefault="003E506E" w:rsidP="15B36052">
      <w:pPr>
        <w:spacing w:after="0" w:line="240" w:lineRule="auto"/>
        <w:jc w:val="center"/>
        <w:rPr>
          <w:rFonts w:ascii="Arial" w:eastAsia="Arial" w:hAnsi="Arial" w:cs="Arial"/>
          <w:color w:val="000000" w:themeColor="text1"/>
          <w:sz w:val="24"/>
          <w:szCs w:val="24"/>
          <w:lang w:val="es-CO"/>
        </w:rPr>
      </w:pPr>
    </w:p>
    <w:p w14:paraId="4C55AB6F" w14:textId="49A9559C" w:rsidR="003E506E" w:rsidRPr="003E506E" w:rsidRDefault="003E506E"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Manuscrito de articulo </w:t>
      </w:r>
      <w:r w:rsidR="00081C8F">
        <w:rPr>
          <w:rFonts w:ascii="Arial" w:eastAsia="Arial" w:hAnsi="Arial" w:cs="Arial"/>
          <w:color w:val="000000" w:themeColor="text1"/>
          <w:sz w:val="24"/>
          <w:szCs w:val="24"/>
          <w:lang w:val="es-CO"/>
        </w:rPr>
        <w:t xml:space="preserve">de investigación </w:t>
      </w:r>
      <w:r w:rsidRPr="003E506E">
        <w:rPr>
          <w:rFonts w:ascii="Arial" w:eastAsia="Arial" w:hAnsi="Arial" w:cs="Arial"/>
          <w:color w:val="000000" w:themeColor="text1"/>
          <w:sz w:val="24"/>
          <w:szCs w:val="24"/>
          <w:lang w:val="es-CO"/>
        </w:rPr>
        <w:t>para optar al título de</w:t>
      </w:r>
    </w:p>
    <w:p w14:paraId="5B174B4D" w14:textId="1E606DD5"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M</w:t>
      </w:r>
      <w:r w:rsidR="003E506E" w:rsidRPr="003E506E">
        <w:rPr>
          <w:rFonts w:ascii="Arial" w:eastAsia="Arial" w:hAnsi="Arial" w:cs="Arial"/>
          <w:color w:val="000000" w:themeColor="text1"/>
          <w:sz w:val="24"/>
          <w:szCs w:val="24"/>
          <w:lang w:val="es-CO"/>
        </w:rPr>
        <w:t>ag</w:t>
      </w:r>
      <w:r w:rsidR="00081C8F">
        <w:rPr>
          <w:rFonts w:ascii="Arial" w:eastAsia="Arial" w:hAnsi="Arial" w:cs="Arial"/>
          <w:color w:val="000000" w:themeColor="text1"/>
          <w:sz w:val="24"/>
          <w:szCs w:val="24"/>
          <w:lang w:val="es-CO"/>
        </w:rPr>
        <w:t>í</w:t>
      </w:r>
      <w:r w:rsidR="003E506E" w:rsidRPr="003E506E">
        <w:rPr>
          <w:rFonts w:ascii="Arial" w:eastAsia="Arial" w:hAnsi="Arial" w:cs="Arial"/>
          <w:color w:val="000000" w:themeColor="text1"/>
          <w:sz w:val="24"/>
          <w:szCs w:val="24"/>
          <w:lang w:val="es-CO"/>
        </w:rPr>
        <w:t>ster</w:t>
      </w:r>
      <w:r w:rsidRPr="003E506E">
        <w:rPr>
          <w:rFonts w:ascii="Arial" w:eastAsia="Arial" w:hAnsi="Arial" w:cs="Arial"/>
          <w:color w:val="000000" w:themeColor="text1"/>
          <w:sz w:val="24"/>
          <w:szCs w:val="24"/>
          <w:lang w:val="es-CO"/>
        </w:rPr>
        <w:t xml:space="preserve"> en Epidemiología </w:t>
      </w:r>
    </w:p>
    <w:p w14:paraId="0EF27790" w14:textId="1FD4655C" w:rsidR="000B34DF" w:rsidRPr="003E506E" w:rsidRDefault="5141EA98" w:rsidP="15B36052">
      <w:pPr>
        <w:spacing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 </w:t>
      </w:r>
    </w:p>
    <w:p w14:paraId="0931D0D9" w14:textId="55573CA9" w:rsidR="000B34DF" w:rsidRDefault="5141EA98" w:rsidP="15B36052">
      <w:pPr>
        <w:spacing w:line="240" w:lineRule="auto"/>
        <w:jc w:val="center"/>
        <w:rPr>
          <w:rFonts w:ascii="Arial" w:eastAsia="Arial" w:hAnsi="Arial" w:cs="Arial"/>
          <w:b/>
          <w:bCs/>
          <w:color w:val="000000" w:themeColor="text1"/>
          <w:sz w:val="24"/>
          <w:szCs w:val="24"/>
          <w:lang w:val="es-CO"/>
        </w:rPr>
      </w:pPr>
      <w:r w:rsidRPr="005D3494">
        <w:rPr>
          <w:rFonts w:ascii="Arial" w:eastAsia="Arial" w:hAnsi="Arial" w:cs="Arial"/>
          <w:b/>
          <w:bCs/>
          <w:color w:val="000000" w:themeColor="text1"/>
          <w:sz w:val="24"/>
          <w:szCs w:val="24"/>
          <w:lang w:val="es-CO"/>
        </w:rPr>
        <w:t xml:space="preserve"> </w:t>
      </w:r>
    </w:p>
    <w:p w14:paraId="286D2982" w14:textId="771CAB94" w:rsidR="000B34DF" w:rsidRDefault="5141EA98" w:rsidP="15B36052">
      <w:pPr>
        <w:spacing w:line="240" w:lineRule="auto"/>
        <w:jc w:val="center"/>
        <w:rPr>
          <w:rFonts w:ascii="Arial" w:eastAsia="Arial" w:hAnsi="Arial" w:cs="Arial"/>
          <w:b/>
          <w:bCs/>
          <w:color w:val="000000" w:themeColor="text1"/>
          <w:sz w:val="24"/>
          <w:szCs w:val="24"/>
          <w:lang w:val="es-CO"/>
        </w:rPr>
      </w:pPr>
      <w:r w:rsidRPr="005D3494">
        <w:rPr>
          <w:rFonts w:ascii="Arial" w:eastAsia="Arial" w:hAnsi="Arial" w:cs="Arial"/>
          <w:b/>
          <w:bCs/>
          <w:color w:val="000000" w:themeColor="text1"/>
          <w:sz w:val="24"/>
          <w:szCs w:val="24"/>
          <w:lang w:val="es-CO"/>
        </w:rPr>
        <w:t xml:space="preserve">  </w:t>
      </w:r>
    </w:p>
    <w:p w14:paraId="76A5B952" w14:textId="6291D50F"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Directoras</w:t>
      </w:r>
    </w:p>
    <w:p w14:paraId="34980181" w14:textId="20850045"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Dione Benjumea Bedoya MD, MSc, PhD </w:t>
      </w:r>
    </w:p>
    <w:p w14:paraId="408E6AD1" w14:textId="1396671E" w:rsidR="000B34DF" w:rsidRPr="003E506E" w:rsidRDefault="008A3AD6"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Docente </w:t>
      </w:r>
      <w:r w:rsidR="00E81DDE" w:rsidRPr="003E506E">
        <w:rPr>
          <w:rFonts w:ascii="Arial" w:eastAsia="Arial" w:hAnsi="Arial" w:cs="Arial"/>
          <w:color w:val="000000" w:themeColor="text1"/>
          <w:sz w:val="24"/>
          <w:szCs w:val="24"/>
          <w:lang w:val="es-CO"/>
        </w:rPr>
        <w:t xml:space="preserve">Facultad de Ciencias de la Salud, </w:t>
      </w:r>
      <w:r w:rsidR="008912BB" w:rsidRPr="003E506E">
        <w:rPr>
          <w:rFonts w:ascii="Arial" w:eastAsia="Arial" w:hAnsi="Arial" w:cs="Arial"/>
          <w:color w:val="000000" w:themeColor="text1"/>
          <w:sz w:val="24"/>
          <w:szCs w:val="24"/>
          <w:lang w:val="es-CO"/>
        </w:rPr>
        <w:t>Corporación Universitaria Remington</w:t>
      </w:r>
    </w:p>
    <w:p w14:paraId="3EF99D51" w14:textId="294497D3"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 </w:t>
      </w:r>
    </w:p>
    <w:p w14:paraId="32645741" w14:textId="47745677"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Mónica Rondón Cotacio MSc</w:t>
      </w:r>
    </w:p>
    <w:p w14:paraId="548B05B0" w14:textId="7400F9B4" w:rsidR="000B34DF" w:rsidRPr="003E506E" w:rsidRDefault="008A3AD6"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Docente </w:t>
      </w:r>
      <w:r w:rsidR="5141EA98" w:rsidRPr="003E506E">
        <w:rPr>
          <w:rFonts w:ascii="Arial" w:eastAsia="Arial" w:hAnsi="Arial" w:cs="Arial"/>
          <w:color w:val="000000" w:themeColor="text1"/>
          <w:sz w:val="24"/>
          <w:szCs w:val="24"/>
          <w:lang w:val="es-CO"/>
        </w:rPr>
        <w:t>Facultad Nacional de Salud Pública</w:t>
      </w:r>
      <w:r w:rsidR="00E81DDE" w:rsidRPr="003E506E">
        <w:rPr>
          <w:rFonts w:ascii="Arial" w:eastAsia="Arial" w:hAnsi="Arial" w:cs="Arial"/>
          <w:color w:val="000000" w:themeColor="text1"/>
          <w:sz w:val="24"/>
          <w:szCs w:val="24"/>
          <w:lang w:val="es-CO"/>
        </w:rPr>
        <w:t>, Universidad de Antioquia</w:t>
      </w:r>
    </w:p>
    <w:p w14:paraId="19DA6FA3" w14:textId="6F6BA314"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 </w:t>
      </w:r>
    </w:p>
    <w:p w14:paraId="40675117" w14:textId="121622C5"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Codirectores </w:t>
      </w:r>
    </w:p>
    <w:p w14:paraId="6F749146" w14:textId="2DF242C5"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Iván </w:t>
      </w:r>
      <w:r w:rsidR="00494DD6" w:rsidRPr="003E506E">
        <w:rPr>
          <w:rFonts w:ascii="Arial" w:eastAsia="Arial" w:hAnsi="Arial" w:cs="Arial"/>
          <w:color w:val="000000" w:themeColor="text1"/>
          <w:sz w:val="24"/>
          <w:szCs w:val="24"/>
          <w:lang w:val="es-CO"/>
        </w:rPr>
        <w:t xml:space="preserve">D. </w:t>
      </w:r>
      <w:r w:rsidRPr="003E506E">
        <w:rPr>
          <w:rFonts w:ascii="Arial" w:eastAsia="Arial" w:hAnsi="Arial" w:cs="Arial"/>
          <w:color w:val="000000" w:themeColor="text1"/>
          <w:sz w:val="24"/>
          <w:szCs w:val="24"/>
          <w:lang w:val="es-CO"/>
        </w:rPr>
        <w:t>Flórez MD, MSc, PhD</w:t>
      </w:r>
    </w:p>
    <w:p w14:paraId="161B67C7" w14:textId="13140D9B" w:rsidR="000B34DF" w:rsidRPr="003E506E" w:rsidRDefault="008A3AD6"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Docente </w:t>
      </w:r>
      <w:r w:rsidR="00B36851" w:rsidRPr="003E506E">
        <w:rPr>
          <w:rFonts w:ascii="Arial" w:eastAsia="Arial" w:hAnsi="Arial" w:cs="Arial"/>
          <w:color w:val="000000" w:themeColor="text1"/>
          <w:sz w:val="24"/>
          <w:szCs w:val="24"/>
          <w:lang w:val="es-CO"/>
        </w:rPr>
        <w:t>Facultad de Medicina, Universidad de Antioquia</w:t>
      </w:r>
      <w:r w:rsidR="5141EA98" w:rsidRPr="003E506E">
        <w:rPr>
          <w:rFonts w:ascii="Arial" w:eastAsia="Arial" w:hAnsi="Arial" w:cs="Arial"/>
          <w:color w:val="000000" w:themeColor="text1"/>
          <w:sz w:val="24"/>
          <w:szCs w:val="24"/>
          <w:lang w:val="es-CO"/>
        </w:rPr>
        <w:t xml:space="preserve"> </w:t>
      </w:r>
    </w:p>
    <w:p w14:paraId="7A13802C" w14:textId="37D09F4D"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 </w:t>
      </w:r>
    </w:p>
    <w:p w14:paraId="45100F4C" w14:textId="14F42EDC"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Helena del Corral MSc, PhD</w:t>
      </w:r>
    </w:p>
    <w:p w14:paraId="5F923239" w14:textId="6851F9C9" w:rsidR="00B36851" w:rsidRPr="003E506E" w:rsidRDefault="008A3AD6" w:rsidP="00B36851">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Docente </w:t>
      </w:r>
      <w:r w:rsidR="00B36851" w:rsidRPr="003E506E">
        <w:rPr>
          <w:rFonts w:ascii="Arial" w:eastAsia="Arial" w:hAnsi="Arial" w:cs="Arial"/>
          <w:color w:val="000000" w:themeColor="text1"/>
          <w:sz w:val="24"/>
          <w:szCs w:val="24"/>
          <w:lang w:val="es-CO"/>
        </w:rPr>
        <w:t>Facultad Nacional de Salud Pública</w:t>
      </w:r>
      <w:r w:rsidR="00E81DDE" w:rsidRPr="003E506E">
        <w:rPr>
          <w:rFonts w:ascii="Arial" w:eastAsia="Arial" w:hAnsi="Arial" w:cs="Arial"/>
          <w:color w:val="000000" w:themeColor="text1"/>
          <w:sz w:val="24"/>
          <w:szCs w:val="24"/>
          <w:lang w:val="es-CO"/>
        </w:rPr>
        <w:t>, Universidad de Antioquia</w:t>
      </w:r>
    </w:p>
    <w:p w14:paraId="2140978D" w14:textId="069DAE78" w:rsidR="000B34DF" w:rsidRPr="003E506E" w:rsidRDefault="000B34DF" w:rsidP="15B36052">
      <w:pPr>
        <w:spacing w:after="0" w:line="240" w:lineRule="auto"/>
        <w:jc w:val="center"/>
        <w:rPr>
          <w:rFonts w:ascii="Arial" w:eastAsia="Arial" w:hAnsi="Arial" w:cs="Arial"/>
          <w:color w:val="000000" w:themeColor="text1"/>
          <w:sz w:val="24"/>
          <w:szCs w:val="24"/>
          <w:lang w:val="es-CO"/>
        </w:rPr>
      </w:pPr>
    </w:p>
    <w:p w14:paraId="7D759E9C" w14:textId="5BA82EEB" w:rsidR="000B34DF" w:rsidRDefault="5141EA98" w:rsidP="15B36052">
      <w:pPr>
        <w:spacing w:after="0" w:line="240" w:lineRule="auto"/>
        <w:jc w:val="center"/>
        <w:rPr>
          <w:rFonts w:ascii="Arial" w:eastAsia="Arial" w:hAnsi="Arial" w:cs="Arial"/>
          <w:b/>
          <w:bCs/>
          <w:color w:val="000000" w:themeColor="text1"/>
          <w:sz w:val="24"/>
          <w:szCs w:val="24"/>
          <w:lang w:val="es-CO"/>
        </w:rPr>
      </w:pPr>
      <w:r w:rsidRPr="005D3494">
        <w:rPr>
          <w:rFonts w:ascii="Arial" w:eastAsia="Arial" w:hAnsi="Arial" w:cs="Arial"/>
          <w:b/>
          <w:bCs/>
          <w:color w:val="000000" w:themeColor="text1"/>
          <w:sz w:val="24"/>
          <w:szCs w:val="24"/>
          <w:lang w:val="es-CO"/>
        </w:rPr>
        <w:t xml:space="preserve"> </w:t>
      </w:r>
    </w:p>
    <w:p w14:paraId="2D0AF12A" w14:textId="35617ED2" w:rsidR="000B34DF" w:rsidRDefault="5141EA98" w:rsidP="15B36052">
      <w:pPr>
        <w:spacing w:after="0" w:line="240" w:lineRule="auto"/>
        <w:jc w:val="center"/>
        <w:rPr>
          <w:rFonts w:ascii="Arial" w:eastAsia="Arial" w:hAnsi="Arial" w:cs="Arial"/>
          <w:b/>
          <w:bCs/>
          <w:color w:val="000000" w:themeColor="text1"/>
          <w:sz w:val="24"/>
          <w:szCs w:val="24"/>
          <w:lang w:val="es-CO"/>
        </w:rPr>
      </w:pPr>
      <w:r w:rsidRPr="005D3494">
        <w:rPr>
          <w:rFonts w:ascii="Arial" w:eastAsia="Arial" w:hAnsi="Arial" w:cs="Arial"/>
          <w:b/>
          <w:bCs/>
          <w:color w:val="000000" w:themeColor="text1"/>
          <w:sz w:val="24"/>
          <w:szCs w:val="24"/>
          <w:lang w:val="es-CO"/>
        </w:rPr>
        <w:t xml:space="preserve"> </w:t>
      </w:r>
    </w:p>
    <w:p w14:paraId="257A54AF" w14:textId="458A6B69" w:rsidR="000B34DF" w:rsidRDefault="00720DAE" w:rsidP="15B36052">
      <w:pPr>
        <w:spacing w:after="0" w:line="240" w:lineRule="auto"/>
        <w:jc w:val="center"/>
        <w:rPr>
          <w:rFonts w:ascii="Arial" w:eastAsia="Arial" w:hAnsi="Arial" w:cs="Arial"/>
          <w:b/>
          <w:bCs/>
          <w:color w:val="000000" w:themeColor="text1"/>
          <w:sz w:val="24"/>
          <w:szCs w:val="24"/>
          <w:lang w:val="es-CO"/>
        </w:rPr>
      </w:pPr>
      <w:r>
        <w:rPr>
          <w:rFonts w:ascii="Arial" w:eastAsia="Arial" w:hAnsi="Arial" w:cs="Arial"/>
          <w:b/>
          <w:bCs/>
          <w:color w:val="000000" w:themeColor="text1"/>
          <w:sz w:val="24"/>
          <w:szCs w:val="24"/>
          <w:lang w:val="es-CO"/>
        </w:rPr>
        <w:t xml:space="preserve"> </w:t>
      </w:r>
    </w:p>
    <w:p w14:paraId="1E0DEB66" w14:textId="72AAF6C9" w:rsidR="000B34DF" w:rsidRDefault="5141EA98" w:rsidP="15B36052">
      <w:pPr>
        <w:spacing w:after="0" w:line="240" w:lineRule="auto"/>
        <w:jc w:val="center"/>
        <w:rPr>
          <w:rFonts w:ascii="Arial" w:eastAsia="Arial" w:hAnsi="Arial" w:cs="Arial"/>
          <w:b/>
          <w:bCs/>
          <w:color w:val="000000" w:themeColor="text1"/>
          <w:sz w:val="24"/>
          <w:szCs w:val="24"/>
          <w:lang w:val="es-CO"/>
        </w:rPr>
      </w:pPr>
      <w:r w:rsidRPr="005D3494">
        <w:rPr>
          <w:rFonts w:ascii="Arial" w:eastAsia="Arial" w:hAnsi="Arial" w:cs="Arial"/>
          <w:b/>
          <w:bCs/>
          <w:color w:val="000000" w:themeColor="text1"/>
          <w:sz w:val="24"/>
          <w:szCs w:val="24"/>
          <w:lang w:val="es-CO"/>
        </w:rPr>
        <w:t xml:space="preserve"> </w:t>
      </w:r>
    </w:p>
    <w:p w14:paraId="4C93E5D3" w14:textId="2CAFC290"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Universidad de Antioquia </w:t>
      </w:r>
    </w:p>
    <w:p w14:paraId="4347C4A7" w14:textId="12D45BF9" w:rsidR="002662CF" w:rsidRPr="003E506E" w:rsidRDefault="5141EA98" w:rsidP="002662CF">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Facultad Nacional de Salud Pública </w:t>
      </w:r>
      <w:r w:rsidR="003E506E">
        <w:rPr>
          <w:rFonts w:ascii="Arial" w:eastAsia="Arial" w:hAnsi="Arial" w:cs="Arial"/>
          <w:color w:val="000000" w:themeColor="text1"/>
          <w:sz w:val="24"/>
          <w:szCs w:val="24"/>
          <w:lang w:val="es-CO"/>
        </w:rPr>
        <w:t>“</w:t>
      </w:r>
      <w:r w:rsidR="002662CF" w:rsidRPr="003E506E">
        <w:rPr>
          <w:rFonts w:ascii="Arial" w:eastAsia="Arial" w:hAnsi="Arial" w:cs="Arial"/>
          <w:color w:val="000000" w:themeColor="text1"/>
          <w:sz w:val="24"/>
          <w:szCs w:val="24"/>
          <w:lang w:val="es-CO"/>
        </w:rPr>
        <w:t>Héctor Abad Gómez</w:t>
      </w:r>
      <w:r w:rsidR="003E506E">
        <w:rPr>
          <w:rFonts w:ascii="Arial" w:eastAsia="Arial" w:hAnsi="Arial" w:cs="Arial"/>
          <w:color w:val="000000" w:themeColor="text1"/>
          <w:sz w:val="24"/>
          <w:szCs w:val="24"/>
          <w:lang w:val="es-CO"/>
        </w:rPr>
        <w:t>”</w:t>
      </w:r>
      <w:r w:rsidR="002662CF" w:rsidRPr="003E506E">
        <w:rPr>
          <w:rFonts w:ascii="Arial" w:eastAsia="Arial" w:hAnsi="Arial" w:cs="Arial"/>
          <w:color w:val="000000" w:themeColor="text1"/>
          <w:sz w:val="24"/>
          <w:szCs w:val="24"/>
          <w:lang w:val="es-CO"/>
        </w:rPr>
        <w:t xml:space="preserve"> </w:t>
      </w:r>
    </w:p>
    <w:p w14:paraId="52DD2DBE" w14:textId="77777777" w:rsidR="002662CF" w:rsidRPr="003E506E" w:rsidRDefault="002662CF" w:rsidP="002662CF">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Maestría en Epidemiología </w:t>
      </w:r>
    </w:p>
    <w:p w14:paraId="674B0C3A" w14:textId="3BA8C951" w:rsidR="000B34DF" w:rsidRPr="003E506E"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 xml:space="preserve">Medellín </w:t>
      </w:r>
    </w:p>
    <w:p w14:paraId="4447DCAC" w14:textId="5634E559" w:rsidR="000B34DF" w:rsidRDefault="5141EA98" w:rsidP="15B36052">
      <w:pPr>
        <w:spacing w:after="0" w:line="240" w:lineRule="auto"/>
        <w:jc w:val="center"/>
        <w:rPr>
          <w:rFonts w:ascii="Arial" w:eastAsia="Arial" w:hAnsi="Arial" w:cs="Arial"/>
          <w:color w:val="000000" w:themeColor="text1"/>
          <w:sz w:val="24"/>
          <w:szCs w:val="24"/>
          <w:lang w:val="es-CO"/>
        </w:rPr>
      </w:pPr>
      <w:r w:rsidRPr="003E506E">
        <w:rPr>
          <w:rFonts w:ascii="Arial" w:eastAsia="Arial" w:hAnsi="Arial" w:cs="Arial"/>
          <w:color w:val="000000" w:themeColor="text1"/>
          <w:sz w:val="24"/>
          <w:szCs w:val="24"/>
          <w:lang w:val="es-CO"/>
        </w:rPr>
        <w:t>2021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516"/>
        <w:gridCol w:w="6938"/>
      </w:tblGrid>
      <w:tr w:rsidR="00A85FAB" w:rsidRPr="005A1CE4" w14:paraId="1C37552E" w14:textId="77777777" w:rsidTr="00352FDA">
        <w:trPr>
          <w:trHeight w:val="397"/>
          <w:jc w:val="center"/>
        </w:trPr>
        <w:tc>
          <w:tcPr>
            <w:tcW w:w="1893" w:type="dxa"/>
            <w:tcBorders>
              <w:top w:val="single" w:sz="12" w:space="0" w:color="538135" w:themeColor="accent6" w:themeShade="BF"/>
              <w:bottom w:val="single" w:sz="4" w:space="0" w:color="auto"/>
            </w:tcBorders>
            <w:vAlign w:val="center"/>
          </w:tcPr>
          <w:p w14:paraId="52D3C112" w14:textId="77777777" w:rsidR="00A85FAB" w:rsidRPr="005A1CE4" w:rsidRDefault="00A85FAB" w:rsidP="00352FDA">
            <w:pPr>
              <w:spacing w:before="60" w:after="60"/>
              <w:jc w:val="center"/>
              <w:rPr>
                <w:rFonts w:ascii="Arial" w:hAnsi="Arial" w:cs="Arial"/>
                <w:b/>
                <w:bCs/>
                <w:sz w:val="20"/>
                <w:szCs w:val="20"/>
              </w:rPr>
            </w:pPr>
            <w:r w:rsidRPr="005A1CE4">
              <w:rPr>
                <w:rFonts w:ascii="Arial" w:hAnsi="Arial" w:cs="Arial"/>
                <w:szCs w:val="24"/>
              </w:rPr>
              <w:lastRenderedPageBreak/>
              <w:br w:type="page"/>
            </w:r>
            <w:r w:rsidRPr="005A1CE4">
              <w:rPr>
                <w:rFonts w:ascii="Arial" w:hAnsi="Arial" w:cs="Arial"/>
                <w:b/>
                <w:bCs/>
                <w:sz w:val="20"/>
                <w:szCs w:val="20"/>
              </w:rPr>
              <w:t xml:space="preserve">Cita </w:t>
            </w:r>
          </w:p>
        </w:tc>
        <w:tc>
          <w:tcPr>
            <w:tcW w:w="7511" w:type="dxa"/>
            <w:gridSpan w:val="2"/>
            <w:tcBorders>
              <w:top w:val="single" w:sz="12" w:space="0" w:color="538135" w:themeColor="accent6" w:themeShade="BF"/>
              <w:bottom w:val="single" w:sz="4" w:space="0" w:color="auto"/>
            </w:tcBorders>
            <w:vAlign w:val="center"/>
          </w:tcPr>
          <w:p w14:paraId="20A2AF99" w14:textId="05113904" w:rsidR="00A85FAB" w:rsidRPr="005A1CE4" w:rsidRDefault="00463766" w:rsidP="00352FDA">
            <w:pPr>
              <w:jc w:val="center"/>
              <w:rPr>
                <w:rFonts w:ascii="Arial" w:hAnsi="Arial" w:cs="Arial"/>
                <w:sz w:val="20"/>
                <w:szCs w:val="20"/>
              </w:rPr>
            </w:pPr>
            <w:r>
              <w:rPr>
                <w:rFonts w:ascii="Arial" w:hAnsi="Arial" w:cs="Arial"/>
                <w:sz w:val="20"/>
                <w:szCs w:val="20"/>
              </w:rPr>
              <w:t xml:space="preserve">Niño Albarracin y Etienne </w:t>
            </w:r>
            <w:r w:rsidRPr="005A1CE4">
              <w:rPr>
                <w:rFonts w:ascii="Arial" w:hAnsi="Arial" w:cs="Arial"/>
                <w:sz w:val="20"/>
                <w:szCs w:val="20"/>
              </w:rPr>
              <w:t>(</w:t>
            </w:r>
            <w:r w:rsidR="00A85FAB" w:rsidRPr="005A1CE4">
              <w:rPr>
                <w:rFonts w:ascii="Arial" w:hAnsi="Arial" w:cs="Arial"/>
                <w:sz w:val="20"/>
                <w:szCs w:val="20"/>
              </w:rPr>
              <w:t>1)</w:t>
            </w:r>
          </w:p>
        </w:tc>
      </w:tr>
      <w:tr w:rsidR="00A85FAB" w:rsidRPr="005A1CE4" w14:paraId="492211FB" w14:textId="77777777" w:rsidTr="00352FDA">
        <w:trPr>
          <w:trHeight w:val="983"/>
          <w:jc w:val="center"/>
        </w:trPr>
        <w:tc>
          <w:tcPr>
            <w:tcW w:w="1893" w:type="dxa"/>
            <w:tcBorders>
              <w:top w:val="single" w:sz="4" w:space="0" w:color="auto"/>
              <w:bottom w:val="single" w:sz="12" w:space="0" w:color="538135" w:themeColor="accent6" w:themeShade="BF"/>
            </w:tcBorders>
            <w:vAlign w:val="center"/>
          </w:tcPr>
          <w:p w14:paraId="11CB7BF6" w14:textId="77777777" w:rsidR="00A85FAB" w:rsidRPr="005A1CE4" w:rsidRDefault="00A85FAB" w:rsidP="00352FDA">
            <w:pPr>
              <w:spacing w:before="60"/>
              <w:jc w:val="center"/>
              <w:rPr>
                <w:rFonts w:ascii="Arial" w:hAnsi="Arial" w:cs="Arial"/>
                <w:b/>
                <w:bCs/>
                <w:sz w:val="20"/>
                <w:szCs w:val="20"/>
              </w:rPr>
            </w:pPr>
            <w:r w:rsidRPr="005A1CE4">
              <w:rPr>
                <w:rFonts w:ascii="Arial" w:hAnsi="Arial" w:cs="Arial"/>
                <w:b/>
                <w:bCs/>
                <w:sz w:val="20"/>
                <w:szCs w:val="20"/>
              </w:rPr>
              <w:t xml:space="preserve">Referencia </w:t>
            </w:r>
          </w:p>
          <w:p w14:paraId="465F5353" w14:textId="77777777" w:rsidR="00A85FAB" w:rsidRPr="005A1CE4" w:rsidRDefault="00A85FAB" w:rsidP="00352FDA">
            <w:pPr>
              <w:jc w:val="center"/>
              <w:rPr>
                <w:rFonts w:ascii="Arial" w:hAnsi="Arial" w:cs="Arial"/>
                <w:sz w:val="20"/>
                <w:szCs w:val="20"/>
              </w:rPr>
            </w:pPr>
          </w:p>
          <w:p w14:paraId="520C7184" w14:textId="77777777" w:rsidR="00A85FAB" w:rsidRPr="005A1CE4" w:rsidRDefault="00A85FAB" w:rsidP="00352FDA">
            <w:pPr>
              <w:jc w:val="center"/>
              <w:rPr>
                <w:rFonts w:ascii="Arial" w:hAnsi="Arial" w:cs="Arial"/>
                <w:sz w:val="20"/>
                <w:szCs w:val="20"/>
              </w:rPr>
            </w:pPr>
            <w:r w:rsidRPr="005A1CE4">
              <w:rPr>
                <w:rFonts w:ascii="Arial" w:hAnsi="Arial" w:cs="Arial"/>
                <w:b/>
                <w:bCs/>
                <w:sz w:val="20"/>
                <w:szCs w:val="20"/>
              </w:rPr>
              <w:t>Estilo Vancouver/ICMJE (2018)</w:t>
            </w:r>
          </w:p>
        </w:tc>
        <w:tc>
          <w:tcPr>
            <w:tcW w:w="517" w:type="dxa"/>
            <w:tcBorders>
              <w:top w:val="single" w:sz="4" w:space="0" w:color="auto"/>
              <w:bottom w:val="single" w:sz="12" w:space="0" w:color="538135" w:themeColor="accent6" w:themeShade="BF"/>
            </w:tcBorders>
          </w:tcPr>
          <w:p w14:paraId="426BB10A" w14:textId="77777777" w:rsidR="00A85FAB" w:rsidRPr="005A1CE4" w:rsidRDefault="00A85FAB" w:rsidP="00352FDA">
            <w:pPr>
              <w:ind w:left="709" w:hanging="709"/>
              <w:rPr>
                <w:rFonts w:ascii="Arial" w:hAnsi="Arial" w:cs="Arial"/>
                <w:sz w:val="20"/>
                <w:szCs w:val="20"/>
              </w:rPr>
            </w:pPr>
            <w:r w:rsidRPr="005A1CE4">
              <w:rPr>
                <w:rFonts w:ascii="Arial" w:hAnsi="Arial" w:cs="Arial"/>
                <w:sz w:val="20"/>
                <w:szCs w:val="20"/>
              </w:rPr>
              <w:t>(1)</w:t>
            </w:r>
          </w:p>
        </w:tc>
        <w:tc>
          <w:tcPr>
            <w:tcW w:w="6994" w:type="dxa"/>
            <w:tcBorders>
              <w:top w:val="single" w:sz="4" w:space="0" w:color="auto"/>
              <w:bottom w:val="single" w:sz="12" w:space="0" w:color="538135" w:themeColor="accent6" w:themeShade="BF"/>
            </w:tcBorders>
          </w:tcPr>
          <w:p w14:paraId="3873AF8A" w14:textId="74E81FE1" w:rsidR="00A85FAB" w:rsidRPr="005A1CE4" w:rsidRDefault="00463766" w:rsidP="00352FDA">
            <w:pPr>
              <w:spacing w:line="276" w:lineRule="auto"/>
              <w:rPr>
                <w:rFonts w:ascii="Arial" w:hAnsi="Arial" w:cs="Arial"/>
                <w:sz w:val="20"/>
                <w:szCs w:val="20"/>
              </w:rPr>
            </w:pPr>
            <w:r>
              <w:rPr>
                <w:rFonts w:ascii="Arial" w:hAnsi="Arial" w:cs="Arial"/>
                <w:sz w:val="20"/>
                <w:szCs w:val="20"/>
              </w:rPr>
              <w:t>Niño Albarracin y Etienne</w:t>
            </w:r>
            <w:r w:rsidR="00A85FAB" w:rsidRPr="005A1CE4">
              <w:rPr>
                <w:rFonts w:ascii="Arial" w:hAnsi="Arial" w:cs="Arial"/>
                <w:sz w:val="20"/>
                <w:szCs w:val="20"/>
              </w:rPr>
              <w:t xml:space="preserve">. </w:t>
            </w:r>
            <w:r w:rsidRPr="00463766">
              <w:rPr>
                <w:rFonts w:ascii="Arial" w:hAnsi="Arial" w:cs="Arial"/>
                <w:sz w:val="20"/>
                <w:szCs w:val="20"/>
              </w:rPr>
              <w:t>Eficacia de la combinación rifapentina/isoniazida en comparación con la monoterapia con isoniazida para prevenir la tuberculosis activa en personas con inmunodepresión secundaria: revisión sistemática de la literatura y metaanálisis.</w:t>
            </w:r>
            <w:r w:rsidRPr="00463766">
              <w:rPr>
                <w:rFonts w:ascii="Arial" w:hAnsi="Arial" w:cs="Arial"/>
                <w:sz w:val="20"/>
                <w:szCs w:val="20"/>
              </w:rPr>
              <w:t xml:space="preserve"> </w:t>
            </w:r>
            <w:r w:rsidR="00A85FAB" w:rsidRPr="005A1CE4">
              <w:rPr>
                <w:rFonts w:ascii="Arial" w:hAnsi="Arial" w:cs="Arial"/>
                <w:sz w:val="20"/>
                <w:szCs w:val="20"/>
              </w:rPr>
              <w:t>[</w:t>
            </w:r>
            <w:sdt>
              <w:sdtPr>
                <w:rPr>
                  <w:rStyle w:val="Estilo10"/>
                  <w:rFonts w:ascii="Arial" w:hAnsi="Arial" w:cs="Arial"/>
                  <w:szCs w:val="20"/>
                </w:rPr>
                <w:alias w:val="Modalidad de grado"/>
                <w:tag w:val="Tipo de artículo"/>
                <w:id w:val="-761523587"/>
                <w:placeholder>
                  <w:docPart w:val="FE804F7069AD493DAB2FDB6C058D26AE"/>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sz w:val="22"/>
                </w:rPr>
              </w:sdtEndPr>
              <w:sdtContent>
                <w:r>
                  <w:rPr>
                    <w:rStyle w:val="Estilo10"/>
                    <w:rFonts w:ascii="Arial" w:hAnsi="Arial" w:cs="Arial"/>
                    <w:szCs w:val="20"/>
                  </w:rPr>
                  <w:t>Tesis de maestría</w:t>
                </w:r>
              </w:sdtContent>
            </w:sdt>
            <w:r w:rsidR="00A85FAB" w:rsidRPr="005A1CE4">
              <w:rPr>
                <w:rFonts w:ascii="Arial" w:hAnsi="Arial" w:cs="Arial"/>
                <w:szCs w:val="20"/>
              </w:rPr>
              <w:t>]</w:t>
            </w:r>
            <w:r w:rsidR="00A85FAB" w:rsidRPr="005A1CE4">
              <w:rPr>
                <w:rFonts w:ascii="Arial" w:hAnsi="Arial" w:cs="Arial"/>
                <w:sz w:val="20"/>
                <w:szCs w:val="20"/>
              </w:rPr>
              <w:t xml:space="preserve">. </w:t>
            </w:r>
            <w:sdt>
              <w:sdtPr>
                <w:rPr>
                  <w:rFonts w:ascii="Arial" w:hAnsi="Arial" w:cs="Arial"/>
                  <w:sz w:val="20"/>
                  <w:szCs w:val="20"/>
                </w:rPr>
                <w:alias w:val="Ciudad"/>
                <w:tag w:val="Ciudad"/>
                <w:id w:val="423230337"/>
                <w:placeholder>
                  <w:docPart w:val="E72808F66CDB4F149092025778BC821A"/>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sdtContent>
                <w:r>
                  <w:rPr>
                    <w:rFonts w:ascii="Arial" w:hAnsi="Arial" w:cs="Arial"/>
                    <w:sz w:val="20"/>
                    <w:szCs w:val="20"/>
                  </w:rPr>
                  <w:t>Medellín, Colombia</w:t>
                </w:r>
              </w:sdtContent>
            </w:sdt>
            <w:r w:rsidR="00A85FAB" w:rsidRPr="005A1CE4">
              <w:rPr>
                <w:rFonts w:ascii="Arial" w:hAnsi="Arial" w:cs="Arial"/>
                <w:sz w:val="20"/>
                <w:szCs w:val="20"/>
              </w:rPr>
              <w:t xml:space="preserve">. Universidad de Antioquia; </w:t>
            </w:r>
            <w:sdt>
              <w:sdtPr>
                <w:rPr>
                  <w:rFonts w:ascii="Arial" w:hAnsi="Arial" w:cs="Arial"/>
                  <w:sz w:val="20"/>
                  <w:szCs w:val="20"/>
                </w:rPr>
                <w:alias w:val="Año grado"/>
                <w:tag w:val="Año grado"/>
                <w:id w:val="-778185440"/>
                <w:placeholder>
                  <w:docPart w:val="03C0C2AC63E54F9AA8A5684B2B315536"/>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sdtContent>
                <w:r>
                  <w:rPr>
                    <w:rFonts w:ascii="Arial" w:hAnsi="Arial" w:cs="Arial"/>
                    <w:sz w:val="20"/>
                    <w:szCs w:val="20"/>
                  </w:rPr>
                  <w:t>2021</w:t>
                </w:r>
              </w:sdtContent>
            </w:sdt>
            <w:r w:rsidR="00A85FAB" w:rsidRPr="005A1CE4">
              <w:rPr>
                <w:rFonts w:ascii="Arial" w:hAnsi="Arial" w:cs="Arial"/>
                <w:sz w:val="20"/>
                <w:szCs w:val="20"/>
              </w:rPr>
              <w:t>.</w:t>
            </w:r>
            <w:r w:rsidR="00A85FAB" w:rsidRPr="005A1CE4">
              <w:rPr>
                <w:rFonts w:ascii="Arial" w:hAnsi="Arial" w:cs="Arial"/>
                <w:szCs w:val="24"/>
              </w:rPr>
              <w:t xml:space="preserve"> </w:t>
            </w:r>
          </w:p>
        </w:tc>
      </w:tr>
    </w:tbl>
    <w:p w14:paraId="464F5CFA" w14:textId="41914535" w:rsidR="00450852" w:rsidRPr="002B3708" w:rsidRDefault="00F66F0F" w:rsidP="00A85FAB">
      <w:pPr>
        <w:spacing w:after="0" w:line="240" w:lineRule="auto"/>
        <w:rPr>
          <w:rFonts w:ascii="Arial" w:eastAsia="Arial" w:hAnsi="Arial" w:cs="Arial"/>
          <w:b/>
          <w:bCs/>
          <w:color w:val="000000" w:themeColor="text1"/>
          <w:sz w:val="24"/>
          <w:szCs w:val="24"/>
          <w:lang w:val="es-CO"/>
        </w:rPr>
      </w:pPr>
      <w:r>
        <w:rPr>
          <w:rFonts w:ascii="Arial" w:eastAsia="Arial" w:hAnsi="Arial" w:cs="Arial"/>
          <w:b/>
          <w:bCs/>
          <w:color w:val="000000" w:themeColor="text1"/>
          <w:sz w:val="20"/>
          <w:szCs w:val="20"/>
          <w:lang w:val="es-CO"/>
        </w:rPr>
        <w:t>Derechos reservados</w:t>
      </w:r>
    </w:p>
    <w:p w14:paraId="5F8F1AD3" w14:textId="5AA2BDB0" w:rsidR="00450852" w:rsidRDefault="00450852" w:rsidP="002B3708">
      <w:pPr>
        <w:spacing w:after="0" w:line="240" w:lineRule="auto"/>
        <w:rPr>
          <w:rFonts w:ascii="Arial" w:eastAsia="Arial" w:hAnsi="Arial" w:cs="Arial"/>
          <w:color w:val="000000" w:themeColor="text1"/>
          <w:sz w:val="24"/>
          <w:szCs w:val="24"/>
          <w:lang w:val="es-CO"/>
        </w:rPr>
      </w:pPr>
    </w:p>
    <w:p w14:paraId="3053FF53" w14:textId="77947EBD" w:rsidR="00450852" w:rsidRDefault="00450852" w:rsidP="15B36052">
      <w:pPr>
        <w:spacing w:after="0" w:line="240" w:lineRule="auto"/>
        <w:jc w:val="center"/>
        <w:rPr>
          <w:rFonts w:ascii="Arial" w:eastAsia="Arial" w:hAnsi="Arial" w:cs="Arial"/>
          <w:color w:val="000000" w:themeColor="text1"/>
          <w:sz w:val="24"/>
          <w:szCs w:val="24"/>
          <w:lang w:val="es-CO"/>
        </w:rPr>
      </w:pPr>
    </w:p>
    <w:p w14:paraId="16CF0BC1" w14:textId="2CA18C6F" w:rsidR="00450852" w:rsidRDefault="00450852" w:rsidP="15B36052">
      <w:pPr>
        <w:spacing w:after="0" w:line="240" w:lineRule="auto"/>
        <w:jc w:val="center"/>
        <w:rPr>
          <w:rFonts w:ascii="Arial" w:eastAsia="Arial" w:hAnsi="Arial" w:cs="Arial"/>
          <w:color w:val="000000" w:themeColor="text1"/>
          <w:sz w:val="24"/>
          <w:szCs w:val="24"/>
          <w:lang w:val="es-CO"/>
        </w:rPr>
      </w:pPr>
    </w:p>
    <w:p w14:paraId="2E902398" w14:textId="5E1BB308" w:rsidR="005675F4" w:rsidRPr="005A1CE4" w:rsidRDefault="005675F4" w:rsidP="005675F4">
      <w:pPr>
        <w:spacing w:before="120" w:after="120" w:line="276" w:lineRule="auto"/>
        <w:rPr>
          <w:rFonts w:ascii="Arial" w:hAnsi="Arial" w:cs="Arial"/>
          <w:sz w:val="20"/>
          <w:szCs w:val="20"/>
        </w:rPr>
      </w:pPr>
      <w:sdt>
        <w:sdtPr>
          <w:rPr>
            <w:rStyle w:val="TextocomentarioCar"/>
            <w:rFonts w:ascii="Arial" w:hAnsi="Arial" w:cs="Arial"/>
          </w:rPr>
          <w:alias w:val="Posgrado"/>
          <w:tag w:val="Posgrado"/>
          <w:id w:val="-72739954"/>
          <w:placeholder>
            <w:docPart w:val="0E300CF1859A481199498A1B3505DB32"/>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sz w:val="22"/>
            <w:szCs w:val="22"/>
          </w:rPr>
        </w:sdtEndPr>
        <w:sdtContent>
          <w:r>
            <w:rPr>
              <w:rStyle w:val="TextocomentarioCar"/>
              <w:rFonts w:ascii="Arial" w:hAnsi="Arial" w:cs="Arial"/>
            </w:rPr>
            <w:t>Maestría en Epidemiología</w:t>
          </w:r>
        </w:sdtContent>
      </w:sdt>
      <w:r w:rsidRPr="005A1CE4">
        <w:rPr>
          <w:rFonts w:ascii="Arial" w:hAnsi="Arial" w:cs="Arial"/>
          <w:sz w:val="20"/>
          <w:szCs w:val="20"/>
        </w:rPr>
        <w:t>, Cohorte</w:t>
      </w:r>
      <w:r w:rsidRPr="005A1CE4">
        <w:rPr>
          <w:rStyle w:val="Ttulo2Car"/>
          <w:rFonts w:cs="Arial"/>
          <w:sz w:val="20"/>
          <w:szCs w:val="20"/>
        </w:rPr>
        <w:t xml:space="preserve"> </w:t>
      </w:r>
      <w:sdt>
        <w:sdtPr>
          <w:rPr>
            <w:rStyle w:val="Estilo3"/>
            <w:rFonts w:ascii="Arial" w:hAnsi="Arial" w:cs="Arial"/>
            <w:sz w:val="20"/>
            <w:szCs w:val="20"/>
          </w:rPr>
          <w:alias w:val="Cohorte"/>
          <w:tag w:val="Cohorte"/>
          <w:id w:val="-1751346690"/>
          <w:placeholder>
            <w:docPart w:val="BB7C7716ACDF4C3EA53E2BD9B3196260"/>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Content>
          <w:r>
            <w:rPr>
              <w:rStyle w:val="Estilo3"/>
              <w:rFonts w:ascii="Arial" w:hAnsi="Arial" w:cs="Arial"/>
              <w:sz w:val="20"/>
              <w:szCs w:val="20"/>
            </w:rPr>
            <w:t>XVIII</w:t>
          </w:r>
        </w:sdtContent>
      </w:sdt>
      <w:r w:rsidRPr="005A1CE4">
        <w:rPr>
          <w:rFonts w:ascii="Arial" w:hAnsi="Arial" w:cs="Arial"/>
          <w:sz w:val="20"/>
          <w:szCs w:val="20"/>
        </w:rPr>
        <w:t xml:space="preserve">. </w:t>
      </w:r>
    </w:p>
    <w:p w14:paraId="0FC3E438" w14:textId="77777777" w:rsidR="005675F4" w:rsidRPr="005A1CE4" w:rsidRDefault="005675F4" w:rsidP="005675F4">
      <w:pPr>
        <w:spacing w:before="120" w:after="120" w:line="276" w:lineRule="auto"/>
        <w:rPr>
          <w:rFonts w:ascii="Arial" w:hAnsi="Arial" w:cs="Arial"/>
          <w:sz w:val="20"/>
          <w:szCs w:val="20"/>
        </w:rPr>
      </w:pPr>
    </w:p>
    <w:p w14:paraId="6916F9AE" w14:textId="77777777" w:rsidR="005675F4" w:rsidRPr="005A1CE4" w:rsidRDefault="005675F4" w:rsidP="005675F4">
      <w:pPr>
        <w:spacing w:line="276" w:lineRule="auto"/>
        <w:rPr>
          <w:rFonts w:ascii="Arial" w:hAnsi="Arial" w:cs="Arial"/>
          <w:bCs/>
          <w:sz w:val="20"/>
          <w:szCs w:val="20"/>
        </w:rPr>
      </w:pPr>
    </w:p>
    <w:p w14:paraId="31757109" w14:textId="77777777" w:rsidR="005675F4" w:rsidRPr="005A1CE4" w:rsidRDefault="005675F4" w:rsidP="005675F4">
      <w:pPr>
        <w:rPr>
          <w:rFonts w:ascii="Arial" w:hAnsi="Arial" w:cs="Arial"/>
          <w:sz w:val="20"/>
          <w:szCs w:val="20"/>
        </w:rPr>
      </w:pPr>
      <w:bookmarkStart w:id="1"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675F4" w:rsidRPr="005A1CE4" w14:paraId="0267F66A" w14:textId="77777777" w:rsidTr="00352FDA">
        <w:tc>
          <w:tcPr>
            <w:tcW w:w="2410" w:type="dxa"/>
            <w:vAlign w:val="center"/>
            <w:hideMark/>
          </w:tcPr>
          <w:p w14:paraId="017E4489" w14:textId="77777777" w:rsidR="005675F4" w:rsidRPr="005A1CE4" w:rsidRDefault="005675F4" w:rsidP="00352FDA">
            <w:pPr>
              <w:rPr>
                <w:rFonts w:ascii="Arial" w:hAnsi="Arial" w:cs="Arial"/>
                <w:sz w:val="20"/>
                <w:szCs w:val="20"/>
              </w:rPr>
            </w:pPr>
            <w:r w:rsidRPr="005A1CE4">
              <w:rPr>
                <w:rFonts w:ascii="Arial" w:hAnsi="Arial" w:cs="Arial"/>
                <w:noProof/>
                <w:sz w:val="20"/>
                <w:szCs w:val="20"/>
              </w:rPr>
              <w:drawing>
                <wp:inline distT="0" distB="0" distL="0" distR="0" wp14:anchorId="14A6D0C7" wp14:editId="5EA42607">
                  <wp:extent cx="1250950" cy="448310"/>
                  <wp:effectExtent l="0" t="0" r="635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950" cy="448310"/>
                          </a:xfrm>
                          <a:prstGeom prst="rect">
                            <a:avLst/>
                          </a:prstGeom>
                          <a:noFill/>
                          <a:ln>
                            <a:noFill/>
                          </a:ln>
                        </pic:spPr>
                      </pic:pic>
                    </a:graphicData>
                  </a:graphic>
                </wp:inline>
              </w:drawing>
            </w:r>
          </w:p>
        </w:tc>
        <w:tc>
          <w:tcPr>
            <w:tcW w:w="2268" w:type="dxa"/>
            <w:vAlign w:val="center"/>
            <w:hideMark/>
          </w:tcPr>
          <w:p w14:paraId="6417DC36" w14:textId="77777777" w:rsidR="005675F4" w:rsidRPr="005A1CE4" w:rsidRDefault="005675F4" w:rsidP="00352FDA">
            <w:pPr>
              <w:rPr>
                <w:rFonts w:ascii="Arial" w:hAnsi="Arial" w:cs="Arial"/>
                <w:sz w:val="20"/>
                <w:szCs w:val="20"/>
              </w:rPr>
            </w:pPr>
            <w:r w:rsidRPr="005A1CE4">
              <w:rPr>
                <w:rFonts w:ascii="Arial" w:hAnsi="Arial" w:cs="Arial"/>
                <w:noProof/>
                <w:sz w:val="20"/>
                <w:szCs w:val="20"/>
              </w:rPr>
              <w:drawing>
                <wp:inline distT="0" distB="0" distL="0" distR="0" wp14:anchorId="5A53BC2C" wp14:editId="5966D7D3">
                  <wp:extent cx="1250950" cy="457200"/>
                  <wp:effectExtent l="0" t="0" r="6350" b="0"/>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iagrama&#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13612" t="26360" r="13866" b="26901"/>
                          <a:stretch>
                            <a:fillRect/>
                          </a:stretch>
                        </pic:blipFill>
                        <pic:spPr bwMode="auto">
                          <a:xfrm>
                            <a:off x="0" y="0"/>
                            <a:ext cx="1250950" cy="457200"/>
                          </a:xfrm>
                          <a:prstGeom prst="rect">
                            <a:avLst/>
                          </a:prstGeom>
                          <a:noFill/>
                          <a:ln>
                            <a:noFill/>
                          </a:ln>
                        </pic:spPr>
                      </pic:pic>
                    </a:graphicData>
                  </a:graphic>
                </wp:inline>
              </w:drawing>
            </w:r>
          </w:p>
        </w:tc>
      </w:tr>
    </w:tbl>
    <w:bookmarkStart w:id="2" w:name="_Hlk64031990"/>
    <w:p w14:paraId="6964E392" w14:textId="30E902DD" w:rsidR="005675F4" w:rsidRPr="005A1CE4" w:rsidRDefault="005675F4" w:rsidP="005675F4">
      <w:pPr>
        <w:spacing w:before="120" w:after="120" w:line="240" w:lineRule="auto"/>
        <w:rPr>
          <w:rFonts w:ascii="Arial" w:hAnsi="Arial" w:cs="Arial"/>
          <w:sz w:val="20"/>
          <w:szCs w:val="20"/>
        </w:rPr>
      </w:pPr>
      <w:sdt>
        <w:sdtPr>
          <w:rPr>
            <w:rStyle w:val="TextocomentarioCar"/>
            <w:rFonts w:ascii="Arial" w:hAnsi="Arial" w:cs="Arial"/>
          </w:rPr>
          <w:alias w:val="Biblioteca, CRAI o centro de documentación"/>
          <w:tag w:val="Biblioteca, CRAI o centro de documentación"/>
          <w:id w:val="-469741738"/>
          <w:placeholder>
            <w:docPart w:val="133884715E0D466895E0D5A25CF9E59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Content>
          <w:r>
            <w:rPr>
              <w:rStyle w:val="TextocomentarioCar"/>
              <w:rFonts w:ascii="Arial" w:hAnsi="Arial" w:cs="Arial"/>
            </w:rPr>
            <w:t>Biblioteca Salud Pública</w:t>
          </w:r>
        </w:sdtContent>
      </w:sdt>
      <w:r w:rsidRPr="005A1CE4">
        <w:rPr>
          <w:rFonts w:ascii="Arial" w:hAnsi="Arial" w:cs="Arial"/>
        </w:rPr>
        <w:t xml:space="preserve"> </w:t>
      </w:r>
    </w:p>
    <w:p w14:paraId="5E7B588B" w14:textId="77777777" w:rsidR="005675F4" w:rsidRDefault="005675F4" w:rsidP="005675F4">
      <w:pPr>
        <w:spacing w:before="120" w:after="120" w:line="240" w:lineRule="auto"/>
        <w:rPr>
          <w:rFonts w:ascii="Arial" w:hAnsi="Arial" w:cs="Arial"/>
          <w:b/>
          <w:bCs/>
          <w:sz w:val="20"/>
          <w:szCs w:val="20"/>
        </w:rPr>
      </w:pPr>
    </w:p>
    <w:p w14:paraId="3D00AAAE" w14:textId="77777777" w:rsidR="005675F4" w:rsidRPr="005A1CE4" w:rsidRDefault="005675F4" w:rsidP="005675F4">
      <w:pPr>
        <w:spacing w:before="120" w:after="120" w:line="240" w:lineRule="auto"/>
        <w:rPr>
          <w:rFonts w:ascii="Arial" w:hAnsi="Arial" w:cs="Arial"/>
          <w:sz w:val="20"/>
          <w:szCs w:val="20"/>
        </w:rPr>
      </w:pPr>
      <w:r w:rsidRPr="005A1CE4">
        <w:rPr>
          <w:rFonts w:ascii="Arial" w:hAnsi="Arial" w:cs="Arial"/>
          <w:b/>
          <w:bCs/>
          <w:sz w:val="20"/>
          <w:szCs w:val="20"/>
        </w:rPr>
        <w:t>Repositorio Institucional:</w:t>
      </w:r>
      <w:r w:rsidRPr="005A1CE4">
        <w:rPr>
          <w:rFonts w:ascii="Arial" w:hAnsi="Arial" w:cs="Arial"/>
          <w:sz w:val="20"/>
          <w:szCs w:val="20"/>
        </w:rPr>
        <w:t xml:space="preserve"> http://bibliotecadigital.udea.edu.co</w:t>
      </w:r>
    </w:p>
    <w:p w14:paraId="5DA0BB69" w14:textId="77777777" w:rsidR="005675F4" w:rsidRPr="005A1CE4" w:rsidRDefault="005675F4" w:rsidP="005675F4">
      <w:pPr>
        <w:rPr>
          <w:rFonts w:ascii="Arial" w:hAnsi="Arial" w:cs="Arial"/>
          <w:sz w:val="20"/>
          <w:szCs w:val="20"/>
        </w:rPr>
      </w:pPr>
    </w:p>
    <w:p w14:paraId="7A42A20D" w14:textId="77777777" w:rsidR="005675F4" w:rsidRPr="005A1CE4" w:rsidRDefault="005675F4" w:rsidP="005675F4">
      <w:pPr>
        <w:rPr>
          <w:rFonts w:ascii="Arial" w:hAnsi="Arial" w:cs="Arial"/>
          <w:sz w:val="20"/>
          <w:szCs w:val="20"/>
        </w:rPr>
      </w:pPr>
    </w:p>
    <w:p w14:paraId="694FD70A" w14:textId="77777777" w:rsidR="005675F4" w:rsidRPr="005A1CE4" w:rsidRDefault="005675F4" w:rsidP="005675F4">
      <w:pPr>
        <w:rPr>
          <w:rFonts w:ascii="Arial" w:hAnsi="Arial" w:cs="Arial"/>
          <w:sz w:val="20"/>
          <w:szCs w:val="20"/>
        </w:rPr>
      </w:pPr>
      <w:r w:rsidRPr="005A1CE4">
        <w:rPr>
          <w:rFonts w:ascii="Arial" w:hAnsi="Arial" w:cs="Arial"/>
          <w:sz w:val="20"/>
          <w:szCs w:val="20"/>
        </w:rPr>
        <w:t>Universidad de Antioquia - www.udea.edu.co</w:t>
      </w:r>
    </w:p>
    <w:p w14:paraId="36F98076" w14:textId="44B03C78" w:rsidR="005675F4" w:rsidRPr="005A1CE4" w:rsidRDefault="005675F4" w:rsidP="005675F4">
      <w:pPr>
        <w:spacing w:before="120"/>
        <w:rPr>
          <w:rFonts w:ascii="Arial" w:hAnsi="Arial" w:cs="Arial"/>
          <w:sz w:val="20"/>
          <w:szCs w:val="20"/>
        </w:rPr>
      </w:pPr>
      <w:r w:rsidRPr="005A1CE4">
        <w:rPr>
          <w:rFonts w:ascii="Arial" w:hAnsi="Arial" w:cs="Arial"/>
          <w:b/>
          <w:bCs/>
          <w:sz w:val="20"/>
          <w:szCs w:val="20"/>
        </w:rPr>
        <w:t>Rector:</w:t>
      </w:r>
      <w:r w:rsidRPr="005A1CE4">
        <w:rPr>
          <w:rFonts w:ascii="Arial" w:hAnsi="Arial" w:cs="Arial"/>
          <w:sz w:val="20"/>
          <w:szCs w:val="20"/>
        </w:rPr>
        <w:t xml:space="preserve"> </w:t>
      </w:r>
      <w:r w:rsidR="00463766" w:rsidRPr="00463766">
        <w:rPr>
          <w:rFonts w:ascii="Arial" w:hAnsi="Arial" w:cs="Arial"/>
          <w:sz w:val="20"/>
          <w:szCs w:val="20"/>
        </w:rPr>
        <w:t>John Jairo Arboleda</w:t>
      </w:r>
      <w:r w:rsidRPr="005A1CE4">
        <w:rPr>
          <w:rFonts w:ascii="Arial" w:hAnsi="Arial" w:cs="Arial"/>
          <w:sz w:val="20"/>
          <w:szCs w:val="20"/>
        </w:rPr>
        <w:t>.</w:t>
      </w:r>
    </w:p>
    <w:p w14:paraId="1CC202F0" w14:textId="4191321E" w:rsidR="005675F4" w:rsidRPr="005A1CE4" w:rsidRDefault="005675F4" w:rsidP="005675F4">
      <w:pPr>
        <w:rPr>
          <w:rFonts w:ascii="Arial" w:hAnsi="Arial" w:cs="Arial"/>
          <w:sz w:val="20"/>
          <w:szCs w:val="20"/>
        </w:rPr>
      </w:pPr>
      <w:r w:rsidRPr="005A1CE4">
        <w:rPr>
          <w:rFonts w:ascii="Arial" w:hAnsi="Arial" w:cs="Arial"/>
          <w:b/>
          <w:bCs/>
          <w:sz w:val="20"/>
          <w:szCs w:val="20"/>
        </w:rPr>
        <w:t>Decano/Director:</w:t>
      </w:r>
      <w:r w:rsidRPr="005A1CE4">
        <w:rPr>
          <w:rFonts w:ascii="Arial" w:hAnsi="Arial" w:cs="Arial"/>
          <w:sz w:val="20"/>
          <w:szCs w:val="20"/>
        </w:rPr>
        <w:t xml:space="preserve"> </w:t>
      </w:r>
      <w:r w:rsidR="00463766" w:rsidRPr="00463766">
        <w:rPr>
          <w:rFonts w:ascii="Arial" w:hAnsi="Arial" w:cs="Arial"/>
          <w:sz w:val="20"/>
          <w:szCs w:val="20"/>
        </w:rPr>
        <w:t>José Pablo Escobar Vasco</w:t>
      </w:r>
      <w:r w:rsidR="00463766">
        <w:rPr>
          <w:rFonts w:ascii="Arial" w:hAnsi="Arial" w:cs="Arial"/>
          <w:sz w:val="20"/>
          <w:szCs w:val="20"/>
        </w:rPr>
        <w:t>.</w:t>
      </w:r>
    </w:p>
    <w:p w14:paraId="59F78362" w14:textId="38EEC6C3" w:rsidR="005675F4" w:rsidRPr="005A1CE4" w:rsidRDefault="005675F4" w:rsidP="005675F4">
      <w:pPr>
        <w:rPr>
          <w:rFonts w:ascii="Arial" w:hAnsi="Arial" w:cs="Arial"/>
          <w:sz w:val="20"/>
          <w:szCs w:val="20"/>
        </w:rPr>
      </w:pPr>
      <w:r w:rsidRPr="005A1CE4">
        <w:rPr>
          <w:rFonts w:ascii="Arial" w:hAnsi="Arial" w:cs="Arial"/>
          <w:b/>
          <w:bCs/>
          <w:sz w:val="20"/>
          <w:szCs w:val="20"/>
        </w:rPr>
        <w:t>Jefe departamento:</w:t>
      </w:r>
      <w:r w:rsidRPr="005A1CE4">
        <w:rPr>
          <w:rFonts w:ascii="Arial" w:hAnsi="Arial" w:cs="Arial"/>
          <w:sz w:val="20"/>
          <w:szCs w:val="20"/>
        </w:rPr>
        <w:t xml:space="preserve"> </w:t>
      </w:r>
      <w:r w:rsidR="00DB0C6B">
        <w:rPr>
          <w:rFonts w:ascii="Arial" w:hAnsi="Arial" w:cs="Arial"/>
          <w:sz w:val="20"/>
          <w:szCs w:val="20"/>
        </w:rPr>
        <w:t>Nelson Armando Agudelo</w:t>
      </w:r>
      <w:r w:rsidRPr="005A1CE4">
        <w:rPr>
          <w:rFonts w:ascii="Arial" w:hAnsi="Arial" w:cs="Arial"/>
          <w:sz w:val="20"/>
          <w:szCs w:val="20"/>
        </w:rPr>
        <w:t>.</w:t>
      </w:r>
    </w:p>
    <w:p w14:paraId="07782A69" w14:textId="77777777" w:rsidR="005675F4" w:rsidRPr="005A1CE4" w:rsidRDefault="005675F4" w:rsidP="005675F4">
      <w:pPr>
        <w:rPr>
          <w:rFonts w:ascii="Arial" w:hAnsi="Arial" w:cs="Arial"/>
          <w:sz w:val="20"/>
          <w:szCs w:val="20"/>
        </w:rPr>
      </w:pPr>
    </w:p>
    <w:p w14:paraId="27FFAF86" w14:textId="77777777" w:rsidR="005675F4" w:rsidRPr="005A1CE4" w:rsidRDefault="005675F4" w:rsidP="005675F4">
      <w:pPr>
        <w:spacing w:line="276" w:lineRule="auto"/>
        <w:rPr>
          <w:rFonts w:ascii="Arial" w:hAnsi="Arial" w:cs="Arial"/>
          <w:sz w:val="20"/>
          <w:szCs w:val="20"/>
        </w:rPr>
      </w:pPr>
    </w:p>
    <w:p w14:paraId="16FD760F" w14:textId="77777777" w:rsidR="005675F4" w:rsidRPr="005A1CE4" w:rsidRDefault="005675F4" w:rsidP="005675F4">
      <w:pPr>
        <w:spacing w:line="276" w:lineRule="auto"/>
        <w:rPr>
          <w:rFonts w:ascii="Arial" w:hAnsi="Arial" w:cs="Arial"/>
          <w:sz w:val="20"/>
          <w:szCs w:val="20"/>
        </w:rPr>
      </w:pPr>
      <w:r w:rsidRPr="005A1CE4">
        <w:rPr>
          <w:rFonts w:ascii="Arial" w:hAnsi="Arial" w:cs="Arial"/>
          <w:sz w:val="20"/>
          <w:szCs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bookmarkEnd w:id="1"/>
      <w:bookmarkEnd w:id="2"/>
    </w:p>
    <w:p w14:paraId="4C954C8D" w14:textId="256234FE" w:rsidR="00450852" w:rsidRDefault="00450852" w:rsidP="005675F4">
      <w:pPr>
        <w:spacing w:after="0" w:line="240" w:lineRule="auto"/>
        <w:rPr>
          <w:rFonts w:ascii="Arial" w:eastAsia="Arial" w:hAnsi="Arial" w:cs="Arial"/>
          <w:color w:val="000000" w:themeColor="text1"/>
          <w:sz w:val="24"/>
          <w:szCs w:val="24"/>
          <w:lang w:val="es-CO"/>
        </w:rPr>
      </w:pPr>
    </w:p>
    <w:p w14:paraId="4397C8CB" w14:textId="14E7ABC6" w:rsidR="00450852" w:rsidRDefault="00450852" w:rsidP="15B36052">
      <w:pPr>
        <w:spacing w:after="0" w:line="240" w:lineRule="auto"/>
        <w:jc w:val="center"/>
        <w:rPr>
          <w:rFonts w:ascii="Arial" w:eastAsia="Arial" w:hAnsi="Arial" w:cs="Arial"/>
          <w:color w:val="000000" w:themeColor="text1"/>
          <w:sz w:val="24"/>
          <w:szCs w:val="24"/>
          <w:lang w:val="es-CO"/>
        </w:rPr>
      </w:pPr>
    </w:p>
    <w:p w14:paraId="16B5842E" w14:textId="2026133F" w:rsidR="00450852" w:rsidRDefault="00450852" w:rsidP="15B36052">
      <w:pPr>
        <w:spacing w:after="0" w:line="240" w:lineRule="auto"/>
        <w:jc w:val="center"/>
        <w:rPr>
          <w:rFonts w:ascii="Arial" w:eastAsia="Arial" w:hAnsi="Arial" w:cs="Arial"/>
          <w:color w:val="000000" w:themeColor="text1"/>
          <w:sz w:val="24"/>
          <w:szCs w:val="24"/>
          <w:lang w:val="es-CO"/>
        </w:rPr>
      </w:pPr>
    </w:p>
    <w:p w14:paraId="6FBD2104" w14:textId="288F86E3" w:rsidR="00450852" w:rsidRDefault="00450852" w:rsidP="15B36052">
      <w:pPr>
        <w:spacing w:after="0" w:line="240" w:lineRule="auto"/>
        <w:jc w:val="center"/>
        <w:rPr>
          <w:rFonts w:ascii="Arial" w:eastAsia="Arial" w:hAnsi="Arial" w:cs="Arial"/>
          <w:color w:val="000000" w:themeColor="text1"/>
          <w:sz w:val="24"/>
          <w:szCs w:val="24"/>
          <w:lang w:val="es-CO"/>
        </w:rPr>
      </w:pPr>
    </w:p>
    <w:p w14:paraId="25368C4E" w14:textId="7A24E91F" w:rsidR="00450852" w:rsidRDefault="00450852" w:rsidP="15B36052">
      <w:pPr>
        <w:spacing w:after="0" w:line="240" w:lineRule="auto"/>
        <w:jc w:val="center"/>
        <w:rPr>
          <w:rFonts w:ascii="Arial" w:eastAsia="Arial" w:hAnsi="Arial" w:cs="Arial"/>
          <w:color w:val="000000" w:themeColor="text1"/>
          <w:sz w:val="24"/>
          <w:szCs w:val="24"/>
          <w:lang w:val="es-CO"/>
        </w:rPr>
      </w:pPr>
    </w:p>
    <w:p w14:paraId="75103C60" w14:textId="4FFF0B91" w:rsidR="00450852" w:rsidRDefault="00450852" w:rsidP="15B36052">
      <w:pPr>
        <w:spacing w:after="0" w:line="240" w:lineRule="auto"/>
        <w:jc w:val="center"/>
        <w:rPr>
          <w:rFonts w:ascii="Arial" w:eastAsia="Arial" w:hAnsi="Arial" w:cs="Arial"/>
          <w:color w:val="000000" w:themeColor="text1"/>
          <w:sz w:val="24"/>
          <w:szCs w:val="24"/>
          <w:lang w:val="es-CO"/>
        </w:rPr>
      </w:pPr>
    </w:p>
    <w:p w14:paraId="066B8B94" w14:textId="69B907AF" w:rsidR="00450852" w:rsidRDefault="00450852" w:rsidP="15B36052">
      <w:pPr>
        <w:spacing w:after="0" w:line="240" w:lineRule="auto"/>
        <w:jc w:val="center"/>
        <w:rPr>
          <w:rFonts w:ascii="Arial" w:eastAsia="Arial" w:hAnsi="Arial" w:cs="Arial"/>
          <w:color w:val="000000" w:themeColor="text1"/>
          <w:sz w:val="24"/>
          <w:szCs w:val="24"/>
          <w:lang w:val="es-CO"/>
        </w:rPr>
      </w:pPr>
    </w:p>
    <w:p w14:paraId="7A68AC59" w14:textId="64CB6962" w:rsidR="00450852" w:rsidRDefault="00450852" w:rsidP="15B36052">
      <w:pPr>
        <w:spacing w:after="0" w:line="240" w:lineRule="auto"/>
        <w:jc w:val="center"/>
        <w:rPr>
          <w:rFonts w:ascii="Arial" w:eastAsia="Arial" w:hAnsi="Arial" w:cs="Arial"/>
          <w:color w:val="000000" w:themeColor="text1"/>
          <w:sz w:val="24"/>
          <w:szCs w:val="24"/>
          <w:lang w:val="es-CO"/>
        </w:rPr>
      </w:pPr>
    </w:p>
    <w:p w14:paraId="06A3A3A3" w14:textId="53DDA4CA" w:rsidR="3141C4CE" w:rsidRDefault="5141EA98" w:rsidP="005675F4">
      <w:pPr>
        <w:spacing w:line="240" w:lineRule="auto"/>
        <w:jc w:val="center"/>
        <w:rPr>
          <w:rFonts w:ascii="Arial" w:eastAsia="Arial" w:hAnsi="Arial" w:cs="Arial"/>
          <w:b/>
          <w:bCs/>
          <w:sz w:val="24"/>
          <w:szCs w:val="24"/>
        </w:rPr>
      </w:pPr>
      <w:bookmarkStart w:id="3" w:name="_Hlk87377442"/>
      <w:r w:rsidRPr="005D3494">
        <w:rPr>
          <w:rFonts w:ascii="Arial" w:eastAsia="Arial" w:hAnsi="Arial" w:cs="Arial"/>
          <w:b/>
          <w:bCs/>
          <w:sz w:val="24"/>
          <w:szCs w:val="24"/>
        </w:rPr>
        <w:lastRenderedPageBreak/>
        <w:t>R</w:t>
      </w:r>
      <w:r w:rsidR="005675F4" w:rsidRPr="5141EA98">
        <w:rPr>
          <w:rFonts w:ascii="Arial" w:eastAsia="Arial" w:hAnsi="Arial" w:cs="Arial"/>
          <w:b/>
          <w:bCs/>
          <w:sz w:val="24"/>
          <w:szCs w:val="24"/>
        </w:rPr>
        <w:t>esumen</w:t>
      </w:r>
    </w:p>
    <w:p w14:paraId="0E61EC95" w14:textId="77777777" w:rsidR="005675F4" w:rsidRDefault="005675F4" w:rsidP="005675F4">
      <w:pPr>
        <w:spacing w:line="240" w:lineRule="auto"/>
        <w:jc w:val="center"/>
        <w:rPr>
          <w:rFonts w:ascii="Arial" w:eastAsia="Arial" w:hAnsi="Arial" w:cs="Arial"/>
          <w:b/>
          <w:bCs/>
          <w:sz w:val="24"/>
          <w:szCs w:val="24"/>
        </w:rPr>
      </w:pPr>
    </w:p>
    <w:p w14:paraId="60C6DE05" w14:textId="489792B2" w:rsidR="005D3494" w:rsidRDefault="00040AE4" w:rsidP="0069138C">
      <w:pPr>
        <w:spacing w:line="360" w:lineRule="auto"/>
        <w:jc w:val="both"/>
        <w:rPr>
          <w:rFonts w:ascii="Arial" w:eastAsia="Arial" w:hAnsi="Arial" w:cs="Arial"/>
          <w:color w:val="000000" w:themeColor="text1"/>
          <w:sz w:val="24"/>
          <w:szCs w:val="24"/>
          <w:lang w:val="es"/>
        </w:rPr>
      </w:pPr>
      <w:r w:rsidRPr="00040AE4">
        <w:rPr>
          <w:rFonts w:ascii="Arial" w:eastAsia="Arial" w:hAnsi="Arial" w:cs="Arial"/>
          <w:b/>
          <w:bCs/>
          <w:color w:val="000000" w:themeColor="text1"/>
          <w:sz w:val="24"/>
          <w:szCs w:val="24"/>
        </w:rPr>
        <w:t>O</w:t>
      </w:r>
      <w:r w:rsidR="5141EA98" w:rsidRPr="00040AE4">
        <w:rPr>
          <w:rFonts w:ascii="Arial" w:eastAsia="Arial" w:hAnsi="Arial" w:cs="Arial"/>
          <w:b/>
          <w:bCs/>
          <w:color w:val="000000" w:themeColor="text1"/>
          <w:sz w:val="24"/>
          <w:szCs w:val="24"/>
        </w:rPr>
        <w:t>bjetivo</w:t>
      </w:r>
      <w:r>
        <w:rPr>
          <w:rFonts w:ascii="Arial" w:eastAsia="Arial" w:hAnsi="Arial" w:cs="Arial"/>
          <w:color w:val="000000" w:themeColor="text1"/>
          <w:sz w:val="24"/>
          <w:szCs w:val="24"/>
        </w:rPr>
        <w:t>:</w:t>
      </w:r>
      <w:r w:rsidR="5141EA98" w:rsidRPr="5141EA98">
        <w:rPr>
          <w:rFonts w:ascii="Arial" w:eastAsia="Arial" w:hAnsi="Arial" w:cs="Arial"/>
          <w:color w:val="000000" w:themeColor="text1"/>
          <w:sz w:val="24"/>
          <w:szCs w:val="24"/>
        </w:rPr>
        <w:t xml:space="preserve"> </w:t>
      </w:r>
      <w:r w:rsidR="5141EA98" w:rsidRPr="5141EA98">
        <w:rPr>
          <w:rFonts w:ascii="Arial" w:eastAsia="Arial" w:hAnsi="Arial" w:cs="Arial"/>
          <w:color w:val="000000" w:themeColor="text1"/>
          <w:sz w:val="24"/>
          <w:szCs w:val="24"/>
          <w:lang w:val="es"/>
        </w:rPr>
        <w:t>evaluar la eficacia y seguridad de la combinación rifapentina/isoniazida comparada con isoniazida</w:t>
      </w:r>
      <w:r w:rsidR="005D3494">
        <w:rPr>
          <w:rFonts w:ascii="Arial" w:eastAsia="Arial" w:hAnsi="Arial" w:cs="Arial"/>
          <w:color w:val="000000" w:themeColor="text1"/>
          <w:sz w:val="24"/>
          <w:szCs w:val="24"/>
          <w:lang w:val="es"/>
        </w:rPr>
        <w:t xml:space="preserve"> sola</w:t>
      </w:r>
      <w:r w:rsidR="5141EA98" w:rsidRPr="5141EA98">
        <w:rPr>
          <w:rFonts w:ascii="Arial" w:eastAsia="Arial" w:hAnsi="Arial" w:cs="Arial"/>
          <w:color w:val="000000" w:themeColor="text1"/>
          <w:sz w:val="24"/>
          <w:szCs w:val="24"/>
          <w:lang w:val="es"/>
        </w:rPr>
        <w:t xml:space="preserve"> para prevenir la TB activa en personas con inmunodepresión secundaria.</w:t>
      </w:r>
      <w:r w:rsidR="005D3494">
        <w:rPr>
          <w:rFonts w:ascii="Arial" w:eastAsia="Arial" w:hAnsi="Arial" w:cs="Arial"/>
          <w:color w:val="000000" w:themeColor="text1"/>
          <w:sz w:val="24"/>
          <w:szCs w:val="24"/>
          <w:lang w:val="es"/>
        </w:rPr>
        <w:t xml:space="preserve"> </w:t>
      </w:r>
      <w:r w:rsidR="5141EA98" w:rsidRPr="5141EA98">
        <w:rPr>
          <w:rFonts w:ascii="Arial" w:eastAsia="Arial" w:hAnsi="Arial" w:cs="Arial"/>
          <w:b/>
          <w:bCs/>
          <w:color w:val="000000" w:themeColor="text1"/>
          <w:sz w:val="24"/>
          <w:szCs w:val="24"/>
          <w:lang w:val="es"/>
        </w:rPr>
        <w:t>Métodos</w:t>
      </w:r>
      <w:r>
        <w:rPr>
          <w:rFonts w:ascii="Arial" w:eastAsia="Arial" w:hAnsi="Arial" w:cs="Arial"/>
          <w:b/>
          <w:bCs/>
          <w:color w:val="000000" w:themeColor="text1"/>
          <w:sz w:val="24"/>
          <w:szCs w:val="24"/>
          <w:lang w:val="es"/>
        </w:rPr>
        <w:t xml:space="preserve">: </w:t>
      </w:r>
      <w:r w:rsidR="00951712">
        <w:rPr>
          <w:rFonts w:ascii="Arial" w:eastAsia="Arial" w:hAnsi="Arial" w:cs="Arial"/>
          <w:color w:val="000000" w:themeColor="text1"/>
          <w:sz w:val="24"/>
          <w:szCs w:val="24"/>
          <w:lang w:val="es"/>
        </w:rPr>
        <w:t>s</w:t>
      </w:r>
      <w:r>
        <w:rPr>
          <w:rFonts w:ascii="Arial" w:eastAsia="Arial" w:hAnsi="Arial" w:cs="Arial"/>
          <w:color w:val="000000" w:themeColor="text1"/>
          <w:sz w:val="24"/>
          <w:szCs w:val="24"/>
          <w:lang w:val="es"/>
        </w:rPr>
        <w:t>e incluyeron</w:t>
      </w:r>
      <w:r w:rsidR="5141EA98" w:rsidRPr="5141EA98">
        <w:rPr>
          <w:rFonts w:ascii="Arial" w:eastAsia="Arial" w:hAnsi="Arial" w:cs="Arial"/>
          <w:color w:val="000000" w:themeColor="text1"/>
          <w:sz w:val="24"/>
          <w:szCs w:val="24"/>
          <w:lang w:val="es"/>
        </w:rPr>
        <w:t xml:space="preserve"> ensayos clínicos aleatorizados </w:t>
      </w:r>
      <w:r w:rsidR="00BA1A97">
        <w:rPr>
          <w:rFonts w:ascii="Arial" w:eastAsia="Arial" w:hAnsi="Arial" w:cs="Arial"/>
          <w:color w:val="000000" w:themeColor="text1"/>
          <w:sz w:val="24"/>
          <w:szCs w:val="24"/>
          <w:lang w:val="es"/>
        </w:rPr>
        <w:t xml:space="preserve">(ECA) </w:t>
      </w:r>
      <w:r w:rsidR="5141EA98" w:rsidRPr="5141EA98">
        <w:rPr>
          <w:rFonts w:ascii="Arial" w:eastAsia="Arial" w:hAnsi="Arial" w:cs="Arial"/>
          <w:color w:val="000000" w:themeColor="text1"/>
          <w:sz w:val="24"/>
          <w:szCs w:val="24"/>
          <w:lang w:val="es"/>
        </w:rPr>
        <w:t xml:space="preserve">y estudios de </w:t>
      </w:r>
      <w:r w:rsidR="00E0130A">
        <w:rPr>
          <w:rFonts w:ascii="Arial" w:eastAsia="Arial" w:hAnsi="Arial" w:cs="Arial"/>
          <w:color w:val="000000" w:themeColor="text1"/>
          <w:sz w:val="24"/>
          <w:szCs w:val="24"/>
          <w:lang w:val="es"/>
        </w:rPr>
        <w:t>cohortes</w:t>
      </w:r>
      <w:r w:rsidR="5141EA98" w:rsidRPr="5141EA98">
        <w:rPr>
          <w:rFonts w:ascii="Arial" w:eastAsia="Arial" w:hAnsi="Arial" w:cs="Arial"/>
          <w:color w:val="000000" w:themeColor="text1"/>
          <w:sz w:val="24"/>
          <w:szCs w:val="24"/>
          <w:lang w:val="es"/>
        </w:rPr>
        <w:t xml:space="preserve"> </w:t>
      </w:r>
      <w:r w:rsidR="00483902">
        <w:rPr>
          <w:rFonts w:ascii="Arial" w:eastAsia="Arial" w:hAnsi="Arial" w:cs="Arial"/>
          <w:color w:val="000000" w:themeColor="text1"/>
          <w:sz w:val="24"/>
          <w:szCs w:val="24"/>
          <w:lang w:val="es"/>
        </w:rPr>
        <w:t>en</w:t>
      </w:r>
      <w:r w:rsidR="00483902" w:rsidRPr="5141EA98">
        <w:rPr>
          <w:rFonts w:ascii="Arial" w:eastAsia="Arial" w:hAnsi="Arial" w:cs="Arial"/>
          <w:color w:val="000000" w:themeColor="text1"/>
          <w:sz w:val="24"/>
          <w:szCs w:val="24"/>
          <w:lang w:val="es"/>
        </w:rPr>
        <w:t xml:space="preserve"> </w:t>
      </w:r>
      <w:r w:rsidR="5141EA98" w:rsidRPr="5141EA98">
        <w:rPr>
          <w:rFonts w:ascii="Arial" w:eastAsia="Arial" w:hAnsi="Arial" w:cs="Arial"/>
          <w:color w:val="000000" w:themeColor="text1"/>
          <w:sz w:val="24"/>
          <w:szCs w:val="24"/>
          <w:lang w:val="es"/>
        </w:rPr>
        <w:t>p</w:t>
      </w:r>
      <w:r>
        <w:rPr>
          <w:rFonts w:ascii="Arial" w:eastAsia="Arial" w:hAnsi="Arial" w:cs="Arial"/>
          <w:color w:val="000000" w:themeColor="text1"/>
          <w:sz w:val="24"/>
          <w:szCs w:val="24"/>
          <w:lang w:val="es"/>
        </w:rPr>
        <w:t>ersonas</w:t>
      </w:r>
      <w:r w:rsidR="5141EA98" w:rsidRPr="5141EA98">
        <w:rPr>
          <w:rFonts w:ascii="Arial" w:eastAsia="Arial" w:hAnsi="Arial" w:cs="Arial"/>
          <w:color w:val="000000" w:themeColor="text1"/>
          <w:sz w:val="24"/>
          <w:szCs w:val="24"/>
          <w:lang w:val="es"/>
        </w:rPr>
        <w:t xml:space="preserve"> con inmunodepresión secundaria y prueba de </w:t>
      </w:r>
      <w:r w:rsidR="00BA1A97">
        <w:rPr>
          <w:rFonts w:ascii="Arial" w:eastAsia="Arial" w:hAnsi="Arial" w:cs="Arial"/>
          <w:color w:val="000000" w:themeColor="text1"/>
          <w:sz w:val="24"/>
          <w:szCs w:val="24"/>
          <w:lang w:val="es"/>
        </w:rPr>
        <w:t>tuberculina</w:t>
      </w:r>
      <w:r w:rsidR="5141EA98" w:rsidRPr="5141EA98">
        <w:rPr>
          <w:rFonts w:ascii="Arial" w:eastAsia="Arial" w:hAnsi="Arial" w:cs="Arial"/>
          <w:color w:val="000000" w:themeColor="text1"/>
          <w:sz w:val="24"/>
          <w:szCs w:val="24"/>
          <w:lang w:val="es"/>
        </w:rPr>
        <w:t xml:space="preserve"> o </w:t>
      </w:r>
      <w:r w:rsidR="00BA1A97">
        <w:rPr>
          <w:rFonts w:ascii="Arial" w:eastAsia="Arial" w:hAnsi="Arial" w:cs="Arial"/>
          <w:color w:val="000000" w:themeColor="text1"/>
          <w:sz w:val="24"/>
          <w:szCs w:val="24"/>
          <w:lang w:val="es"/>
        </w:rPr>
        <w:t>liberación de interferón gamma</w:t>
      </w:r>
      <w:r w:rsidR="5141EA98" w:rsidRPr="5141EA98">
        <w:rPr>
          <w:rFonts w:ascii="Arial" w:eastAsia="Arial" w:hAnsi="Arial" w:cs="Arial"/>
          <w:color w:val="000000" w:themeColor="text1"/>
          <w:sz w:val="24"/>
          <w:szCs w:val="24"/>
          <w:lang w:val="es"/>
        </w:rPr>
        <w:t xml:space="preserve"> positiva. </w:t>
      </w:r>
      <w:r w:rsidR="00720DAE">
        <w:rPr>
          <w:rFonts w:ascii="Arial" w:eastAsia="Arial" w:hAnsi="Arial" w:cs="Arial"/>
          <w:color w:val="000000" w:themeColor="text1"/>
          <w:sz w:val="24"/>
          <w:szCs w:val="24"/>
          <w:lang w:val="es"/>
        </w:rPr>
        <w:t>La búsqueda se hizo</w:t>
      </w:r>
      <w:r w:rsidR="5141EA98" w:rsidRPr="5141EA98">
        <w:rPr>
          <w:rFonts w:ascii="Arial" w:eastAsia="Arial" w:hAnsi="Arial" w:cs="Arial"/>
          <w:color w:val="000000" w:themeColor="text1"/>
          <w:sz w:val="24"/>
          <w:szCs w:val="24"/>
          <w:lang w:val="es"/>
        </w:rPr>
        <w:t xml:space="preserve"> </w:t>
      </w:r>
      <w:r w:rsidR="00BA1A97" w:rsidRPr="5141EA98">
        <w:rPr>
          <w:rFonts w:ascii="Arial" w:eastAsia="Arial" w:hAnsi="Arial" w:cs="Arial"/>
          <w:color w:val="000000" w:themeColor="text1"/>
          <w:sz w:val="24"/>
          <w:szCs w:val="24"/>
          <w:lang w:val="es"/>
        </w:rPr>
        <w:t xml:space="preserve">en </w:t>
      </w:r>
      <w:r w:rsidR="006E041F">
        <w:rPr>
          <w:rFonts w:ascii="Arial" w:eastAsia="Arial" w:hAnsi="Arial" w:cs="Arial"/>
          <w:color w:val="000000" w:themeColor="text1"/>
          <w:sz w:val="24"/>
          <w:szCs w:val="24"/>
        </w:rPr>
        <w:t>PubMed</w:t>
      </w:r>
      <w:r w:rsidR="5141EA98" w:rsidRPr="5141EA98">
        <w:rPr>
          <w:rFonts w:ascii="Arial" w:eastAsia="Arial" w:hAnsi="Arial" w:cs="Arial"/>
          <w:color w:val="000000" w:themeColor="text1"/>
          <w:sz w:val="24"/>
          <w:szCs w:val="24"/>
        </w:rPr>
        <w:t xml:space="preserve">, </w:t>
      </w:r>
      <w:r w:rsidR="5141EA98" w:rsidRPr="006E041F">
        <w:rPr>
          <w:rFonts w:ascii="Arial" w:eastAsia="Arial" w:hAnsi="Arial" w:cs="Arial"/>
          <w:color w:val="000000" w:themeColor="text1"/>
          <w:sz w:val="24"/>
          <w:szCs w:val="24"/>
        </w:rPr>
        <w:t>Cochrane</w:t>
      </w:r>
      <w:r w:rsidR="5141EA98" w:rsidRPr="5141EA98">
        <w:rPr>
          <w:rFonts w:ascii="Arial" w:eastAsia="Arial" w:hAnsi="Arial" w:cs="Arial"/>
          <w:color w:val="000000" w:themeColor="text1"/>
          <w:sz w:val="24"/>
          <w:szCs w:val="24"/>
        </w:rPr>
        <w:t xml:space="preserve">, </w:t>
      </w:r>
      <w:r w:rsidR="006E041F" w:rsidRPr="5141EA98">
        <w:rPr>
          <w:rFonts w:ascii="Arial" w:eastAsia="Arial" w:hAnsi="Arial" w:cs="Arial"/>
          <w:color w:val="000000" w:themeColor="text1"/>
          <w:sz w:val="24"/>
          <w:szCs w:val="24"/>
        </w:rPr>
        <w:t>Embase</w:t>
      </w:r>
      <w:r w:rsidR="5141EA98" w:rsidRPr="5141EA98">
        <w:rPr>
          <w:rFonts w:ascii="Arial" w:eastAsia="Arial" w:hAnsi="Arial" w:cs="Arial"/>
          <w:color w:val="000000" w:themeColor="text1"/>
          <w:sz w:val="24"/>
          <w:szCs w:val="24"/>
        </w:rPr>
        <w:t>, LILACS,</w:t>
      </w:r>
      <w:r w:rsidR="5141EA98" w:rsidRPr="5141EA98">
        <w:rPr>
          <w:rFonts w:ascii="Arial" w:eastAsia="Arial" w:hAnsi="Arial" w:cs="Arial"/>
          <w:sz w:val="24"/>
          <w:szCs w:val="24"/>
          <w:lang w:val="es-CO"/>
        </w:rPr>
        <w:t xml:space="preserve"> Scopus, </w:t>
      </w:r>
      <w:r w:rsidR="00774DA7">
        <w:rPr>
          <w:rFonts w:ascii="Arial" w:eastAsia="Arial" w:hAnsi="Arial" w:cs="Arial"/>
          <w:sz w:val="24"/>
          <w:szCs w:val="24"/>
          <w:lang w:val="es-CO"/>
        </w:rPr>
        <w:t>además</w:t>
      </w:r>
      <w:r w:rsidR="00BA1A97">
        <w:rPr>
          <w:rFonts w:ascii="Arial" w:eastAsia="Arial" w:hAnsi="Arial" w:cs="Arial"/>
          <w:sz w:val="24"/>
          <w:szCs w:val="24"/>
          <w:lang w:val="es-CO"/>
        </w:rPr>
        <w:t xml:space="preserve"> </w:t>
      </w:r>
      <w:r w:rsidR="00E0130A">
        <w:rPr>
          <w:rFonts w:ascii="Arial" w:eastAsia="Arial" w:hAnsi="Arial" w:cs="Arial"/>
          <w:sz w:val="24"/>
          <w:szCs w:val="24"/>
          <w:lang w:val="es-CO"/>
        </w:rPr>
        <w:t xml:space="preserve">en repositorios de </w:t>
      </w:r>
      <w:r w:rsidR="00BA1A97">
        <w:rPr>
          <w:rFonts w:ascii="Arial" w:eastAsia="Arial" w:hAnsi="Arial" w:cs="Arial"/>
          <w:sz w:val="24"/>
          <w:szCs w:val="24"/>
          <w:lang w:val="es-CO"/>
        </w:rPr>
        <w:t>literatura gris</w:t>
      </w:r>
      <w:r w:rsidR="00BB7FD6">
        <w:rPr>
          <w:rFonts w:ascii="Arial" w:eastAsia="Arial" w:hAnsi="Arial" w:cs="Arial"/>
          <w:sz w:val="24"/>
          <w:szCs w:val="24"/>
          <w:lang w:val="es-CO"/>
        </w:rPr>
        <w:t xml:space="preserve"> y de forma manual</w:t>
      </w:r>
      <w:r w:rsidR="5141EA98" w:rsidRPr="5141EA98">
        <w:rPr>
          <w:rFonts w:ascii="Arial" w:eastAsia="Arial" w:hAnsi="Arial" w:cs="Arial"/>
          <w:sz w:val="24"/>
          <w:szCs w:val="24"/>
          <w:lang w:val="es-CO"/>
        </w:rPr>
        <w:t xml:space="preserve">. Se evaluó el riesgo de sesgo </w:t>
      </w:r>
      <w:r w:rsidR="00E0130A">
        <w:rPr>
          <w:rFonts w:ascii="Arial" w:eastAsia="Arial" w:hAnsi="Arial" w:cs="Arial"/>
          <w:sz w:val="24"/>
          <w:szCs w:val="24"/>
          <w:lang w:val="es-CO"/>
        </w:rPr>
        <w:t xml:space="preserve">usando </w:t>
      </w:r>
      <w:r w:rsidR="00975AAA" w:rsidRPr="5141EA98">
        <w:rPr>
          <w:rFonts w:ascii="Arial" w:eastAsia="Arial" w:hAnsi="Arial" w:cs="Arial"/>
          <w:sz w:val="24"/>
          <w:szCs w:val="24"/>
          <w:lang w:val="es-CO"/>
        </w:rPr>
        <w:t>RoB</w:t>
      </w:r>
      <w:r w:rsidR="5141EA98" w:rsidRPr="5141EA98">
        <w:rPr>
          <w:rFonts w:ascii="Arial" w:eastAsia="Arial" w:hAnsi="Arial" w:cs="Arial"/>
          <w:sz w:val="24"/>
          <w:szCs w:val="24"/>
          <w:lang w:val="es-CO"/>
        </w:rPr>
        <w:t xml:space="preserve">2 para los ECA y ROBINS-I para los </w:t>
      </w:r>
      <w:r w:rsidR="00BA1A97">
        <w:rPr>
          <w:rFonts w:ascii="Arial" w:eastAsia="Arial" w:hAnsi="Arial" w:cs="Arial"/>
          <w:sz w:val="24"/>
          <w:szCs w:val="24"/>
          <w:lang w:val="es-CO"/>
        </w:rPr>
        <w:t xml:space="preserve">estudios de </w:t>
      </w:r>
      <w:r w:rsidR="00E0130A">
        <w:rPr>
          <w:rFonts w:ascii="Arial" w:eastAsia="Arial" w:hAnsi="Arial" w:cs="Arial"/>
          <w:sz w:val="24"/>
          <w:szCs w:val="24"/>
          <w:lang w:val="es-CO"/>
        </w:rPr>
        <w:t>cohortes</w:t>
      </w:r>
      <w:r w:rsidR="008E3AED">
        <w:rPr>
          <w:rFonts w:ascii="Arial" w:eastAsia="Arial" w:hAnsi="Arial" w:cs="Arial"/>
          <w:sz w:val="24"/>
          <w:szCs w:val="24"/>
          <w:lang w:val="es-CO"/>
        </w:rPr>
        <w:t>.</w:t>
      </w:r>
      <w:r w:rsidR="006E041F">
        <w:rPr>
          <w:rFonts w:ascii="Arial" w:eastAsia="Arial" w:hAnsi="Arial" w:cs="Arial"/>
          <w:sz w:val="24"/>
          <w:szCs w:val="24"/>
          <w:lang w:val="es-CO"/>
        </w:rPr>
        <w:t xml:space="preserve"> </w:t>
      </w:r>
      <w:r w:rsidR="006652C6">
        <w:rPr>
          <w:rFonts w:ascii="Arial" w:eastAsia="Arial" w:hAnsi="Arial" w:cs="Arial"/>
          <w:sz w:val="24"/>
          <w:szCs w:val="24"/>
          <w:lang w:val="es-CO"/>
        </w:rPr>
        <w:t>S</w:t>
      </w:r>
      <w:r w:rsidR="5141EA98" w:rsidRPr="5141EA98">
        <w:rPr>
          <w:rFonts w:ascii="Arial" w:eastAsia="Arial" w:hAnsi="Arial" w:cs="Arial"/>
          <w:sz w:val="24"/>
          <w:szCs w:val="24"/>
          <w:lang w:val="es-CO"/>
        </w:rPr>
        <w:t>e realizaron</w:t>
      </w:r>
      <w:r w:rsidR="00720DAE">
        <w:rPr>
          <w:rFonts w:ascii="Arial" w:eastAsia="Arial" w:hAnsi="Arial" w:cs="Arial"/>
          <w:sz w:val="24"/>
          <w:szCs w:val="24"/>
          <w:lang w:val="es-CO"/>
        </w:rPr>
        <w:t xml:space="preserve"> </w:t>
      </w:r>
      <w:r w:rsidR="5141EA98" w:rsidRPr="5141EA98">
        <w:rPr>
          <w:rFonts w:ascii="Arial" w:eastAsia="Arial" w:hAnsi="Arial" w:cs="Arial"/>
          <w:sz w:val="24"/>
          <w:szCs w:val="24"/>
          <w:lang w:val="es-CO"/>
        </w:rPr>
        <w:t xml:space="preserve">metaanálisis por </w:t>
      </w:r>
      <w:r w:rsidR="00774DA7">
        <w:rPr>
          <w:rFonts w:ascii="Arial" w:eastAsia="Arial" w:hAnsi="Arial" w:cs="Arial"/>
          <w:sz w:val="24"/>
          <w:szCs w:val="24"/>
          <w:lang w:val="es-CO"/>
        </w:rPr>
        <w:t>sub</w:t>
      </w:r>
      <w:r w:rsidR="5141EA98" w:rsidRPr="5141EA98">
        <w:rPr>
          <w:rFonts w:ascii="Arial" w:eastAsia="Arial" w:hAnsi="Arial" w:cs="Arial"/>
          <w:sz w:val="24"/>
          <w:szCs w:val="24"/>
          <w:lang w:val="es-CO"/>
        </w:rPr>
        <w:t>grupos</w:t>
      </w:r>
      <w:r w:rsidR="00706663">
        <w:rPr>
          <w:rFonts w:ascii="Arial" w:eastAsia="Arial" w:hAnsi="Arial" w:cs="Arial"/>
          <w:sz w:val="24"/>
          <w:szCs w:val="24"/>
          <w:lang w:val="es-CO"/>
        </w:rPr>
        <w:t xml:space="preserve"> </w:t>
      </w:r>
      <w:r w:rsidR="5141EA98" w:rsidRPr="5141EA98">
        <w:rPr>
          <w:rFonts w:ascii="Arial" w:eastAsia="Arial" w:hAnsi="Arial" w:cs="Arial"/>
          <w:color w:val="000000" w:themeColor="text1"/>
          <w:sz w:val="24"/>
          <w:szCs w:val="24"/>
        </w:rPr>
        <w:t xml:space="preserve">utilizando </w:t>
      </w:r>
      <w:r w:rsidR="006E041F">
        <w:rPr>
          <w:rFonts w:ascii="Arial" w:eastAsia="Arial" w:hAnsi="Arial" w:cs="Arial"/>
          <w:color w:val="000000" w:themeColor="text1"/>
          <w:sz w:val="24"/>
          <w:szCs w:val="24"/>
        </w:rPr>
        <w:t>el</w:t>
      </w:r>
      <w:r w:rsidR="5141EA98" w:rsidRPr="5141EA98">
        <w:rPr>
          <w:rFonts w:ascii="Arial" w:eastAsia="Arial" w:hAnsi="Arial" w:cs="Arial"/>
          <w:color w:val="000000" w:themeColor="text1"/>
          <w:sz w:val="24"/>
          <w:szCs w:val="24"/>
        </w:rPr>
        <w:t xml:space="preserve"> modelo de efectos aleatorios</w:t>
      </w:r>
      <w:r w:rsidR="5141EA98" w:rsidRPr="5141EA98">
        <w:rPr>
          <w:rFonts w:ascii="Arial" w:eastAsia="Arial" w:hAnsi="Arial" w:cs="Arial"/>
          <w:sz w:val="24"/>
          <w:szCs w:val="24"/>
        </w:rPr>
        <w:t>.</w:t>
      </w:r>
      <w:r w:rsidR="005D3494">
        <w:rPr>
          <w:rFonts w:ascii="Arial" w:eastAsia="Arial" w:hAnsi="Arial" w:cs="Arial"/>
          <w:color w:val="000000" w:themeColor="text1"/>
          <w:sz w:val="24"/>
          <w:szCs w:val="24"/>
          <w:lang w:val="es"/>
        </w:rPr>
        <w:t xml:space="preserve"> </w:t>
      </w:r>
      <w:r w:rsidR="5141EA98" w:rsidRPr="00AA6569">
        <w:rPr>
          <w:rFonts w:ascii="Arial" w:eastAsia="Arial" w:hAnsi="Arial" w:cs="Arial"/>
          <w:b/>
          <w:bCs/>
          <w:color w:val="000000" w:themeColor="text1"/>
          <w:sz w:val="24"/>
          <w:szCs w:val="24"/>
        </w:rPr>
        <w:t>Resultados</w:t>
      </w:r>
      <w:r>
        <w:rPr>
          <w:rFonts w:ascii="Arial" w:eastAsia="Arial" w:hAnsi="Arial" w:cs="Arial"/>
          <w:b/>
          <w:bCs/>
          <w:color w:val="000000" w:themeColor="text1"/>
          <w:sz w:val="24"/>
          <w:szCs w:val="24"/>
        </w:rPr>
        <w:t xml:space="preserve">: </w:t>
      </w:r>
      <w:r w:rsidR="00483902">
        <w:rPr>
          <w:rStyle w:val="normaltextrun"/>
          <w:rFonts w:ascii="Arial" w:hAnsi="Arial" w:cs="Arial"/>
          <w:color w:val="000000"/>
          <w:sz w:val="24"/>
          <w:szCs w:val="24"/>
          <w:shd w:val="clear" w:color="auto" w:fill="FFFFFF"/>
        </w:rPr>
        <w:t xml:space="preserve">3 </w:t>
      </w:r>
      <w:r w:rsidR="0005106C" w:rsidRPr="00AA6569">
        <w:rPr>
          <w:rStyle w:val="normaltextrun"/>
          <w:rFonts w:ascii="Arial" w:hAnsi="Arial" w:cs="Arial"/>
          <w:color w:val="000000"/>
          <w:sz w:val="24"/>
          <w:szCs w:val="24"/>
          <w:shd w:val="clear" w:color="auto" w:fill="FFFFFF"/>
        </w:rPr>
        <w:t xml:space="preserve">ECA </w:t>
      </w:r>
      <w:r w:rsidR="0005106C">
        <w:rPr>
          <w:rStyle w:val="normaltextrun"/>
          <w:rFonts w:ascii="Arial" w:hAnsi="Arial" w:cs="Arial"/>
          <w:color w:val="000000"/>
          <w:sz w:val="24"/>
          <w:szCs w:val="24"/>
          <w:shd w:val="clear" w:color="auto" w:fill="FFFFFF"/>
        </w:rPr>
        <w:t>con</w:t>
      </w:r>
      <w:r w:rsidR="00483902">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1</w:t>
      </w:r>
      <w:r w:rsidR="00E0130A">
        <w:rPr>
          <w:rStyle w:val="normaltextrun"/>
          <w:rFonts w:ascii="Arial" w:hAnsi="Arial" w:cs="Arial"/>
          <w:color w:val="000000"/>
          <w:sz w:val="24"/>
          <w:szCs w:val="24"/>
          <w:shd w:val="clear" w:color="auto" w:fill="FFFFFF"/>
        </w:rPr>
        <w:t>,</w:t>
      </w:r>
      <w:r w:rsidR="00995568" w:rsidRPr="00AA6569">
        <w:rPr>
          <w:rStyle w:val="normaltextrun"/>
          <w:rFonts w:ascii="Arial" w:hAnsi="Arial" w:cs="Arial"/>
          <w:color w:val="000000"/>
          <w:sz w:val="24"/>
          <w:szCs w:val="24"/>
          <w:shd w:val="clear" w:color="auto" w:fill="FFFFFF"/>
        </w:rPr>
        <w:t>689 p</w:t>
      </w:r>
      <w:r>
        <w:rPr>
          <w:rStyle w:val="normaltextrun"/>
          <w:rFonts w:ascii="Arial" w:hAnsi="Arial" w:cs="Arial"/>
          <w:color w:val="000000"/>
          <w:sz w:val="24"/>
          <w:szCs w:val="24"/>
          <w:shd w:val="clear" w:color="auto" w:fill="FFFFFF"/>
        </w:rPr>
        <w:t>ersonas</w:t>
      </w:r>
      <w:r w:rsidR="007A6E3B">
        <w:rPr>
          <w:rStyle w:val="normaltextrun"/>
          <w:rFonts w:ascii="Arial" w:hAnsi="Arial" w:cs="Arial"/>
          <w:color w:val="000000"/>
          <w:sz w:val="24"/>
          <w:szCs w:val="24"/>
          <w:shd w:val="clear" w:color="auto" w:fill="FFFFFF"/>
        </w:rPr>
        <w:t xml:space="preserve"> que viv</w:t>
      </w:r>
      <w:r w:rsidR="00483902">
        <w:rPr>
          <w:rStyle w:val="normaltextrun"/>
          <w:rFonts w:ascii="Arial" w:hAnsi="Arial" w:cs="Arial"/>
          <w:color w:val="000000"/>
          <w:sz w:val="24"/>
          <w:szCs w:val="24"/>
          <w:shd w:val="clear" w:color="auto" w:fill="FFFFFF"/>
        </w:rPr>
        <w:t>ían</w:t>
      </w:r>
      <w:r w:rsidR="007A6E3B">
        <w:rPr>
          <w:rStyle w:val="normaltextrun"/>
          <w:rFonts w:ascii="Arial" w:hAnsi="Arial" w:cs="Arial"/>
          <w:color w:val="000000"/>
          <w:sz w:val="24"/>
          <w:szCs w:val="24"/>
          <w:shd w:val="clear" w:color="auto" w:fill="FFFFFF"/>
        </w:rPr>
        <w:t xml:space="preserve"> con VIH</w:t>
      </w:r>
      <w:r w:rsidR="00514E7C">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 xml:space="preserve">(PVVIH) </w:t>
      </w:r>
      <w:r w:rsidR="007A6E3B">
        <w:rPr>
          <w:rStyle w:val="normaltextrun"/>
          <w:rFonts w:ascii="Arial" w:hAnsi="Arial" w:cs="Arial"/>
          <w:color w:val="000000"/>
          <w:sz w:val="24"/>
          <w:szCs w:val="24"/>
          <w:shd w:val="clear" w:color="auto" w:fill="FFFFFF"/>
        </w:rPr>
        <w:t xml:space="preserve">y </w:t>
      </w:r>
      <w:r w:rsidR="00483902">
        <w:rPr>
          <w:rStyle w:val="normaltextrun"/>
          <w:rFonts w:ascii="Arial" w:hAnsi="Arial" w:cs="Arial"/>
          <w:color w:val="000000"/>
          <w:sz w:val="24"/>
          <w:szCs w:val="24"/>
          <w:shd w:val="clear" w:color="auto" w:fill="FFFFFF"/>
        </w:rPr>
        <w:t xml:space="preserve">3 estudios de cohortes con </w:t>
      </w:r>
      <w:r w:rsidR="00C24819" w:rsidRPr="00AA6569">
        <w:rPr>
          <w:rStyle w:val="normaltextrun"/>
          <w:rFonts w:ascii="Arial" w:hAnsi="Arial" w:cs="Arial"/>
          <w:color w:val="000000"/>
          <w:sz w:val="24"/>
          <w:szCs w:val="24"/>
          <w:shd w:val="clear" w:color="auto" w:fill="FFFFFF"/>
        </w:rPr>
        <w:t>335</w:t>
      </w:r>
      <w:r w:rsidR="00C24819">
        <w:rPr>
          <w:rStyle w:val="normaltextrun"/>
          <w:rFonts w:ascii="Arial" w:hAnsi="Arial" w:cs="Arial"/>
          <w:color w:val="000000"/>
          <w:sz w:val="24"/>
          <w:szCs w:val="24"/>
          <w:shd w:val="clear" w:color="auto" w:fill="FFFFFF"/>
        </w:rPr>
        <w:t xml:space="preserve"> </w:t>
      </w:r>
      <w:r w:rsidR="00C24819" w:rsidRPr="00AA6569">
        <w:rPr>
          <w:rStyle w:val="normaltextrun"/>
          <w:rFonts w:ascii="Arial" w:hAnsi="Arial" w:cs="Arial"/>
          <w:color w:val="000000"/>
          <w:sz w:val="24"/>
          <w:szCs w:val="24"/>
          <w:shd w:val="clear" w:color="auto" w:fill="FFFFFF"/>
        </w:rPr>
        <w:t>participantes</w:t>
      </w:r>
      <w:r w:rsidR="007A6E3B">
        <w:rPr>
          <w:rStyle w:val="normaltextrun"/>
          <w:rFonts w:ascii="Arial" w:hAnsi="Arial" w:cs="Arial"/>
          <w:color w:val="000000"/>
          <w:sz w:val="24"/>
          <w:szCs w:val="24"/>
          <w:shd w:val="clear" w:color="auto" w:fill="FFFFFF"/>
        </w:rPr>
        <w:t xml:space="preserve"> </w:t>
      </w:r>
      <w:r w:rsidR="00774DA7">
        <w:rPr>
          <w:rStyle w:val="normaltextrun"/>
          <w:rFonts w:ascii="Arial" w:hAnsi="Arial" w:cs="Arial"/>
          <w:color w:val="000000"/>
          <w:sz w:val="24"/>
          <w:szCs w:val="24"/>
          <w:shd w:val="clear" w:color="auto" w:fill="FFFFFF"/>
        </w:rPr>
        <w:t xml:space="preserve">que tenían inmunodepresión secundaria no VIH. </w:t>
      </w:r>
      <w:r w:rsidR="00995568" w:rsidRPr="00AA6569">
        <w:rPr>
          <w:rStyle w:val="normaltextrun"/>
          <w:rFonts w:ascii="Arial" w:hAnsi="Arial" w:cs="Arial"/>
          <w:color w:val="000000"/>
          <w:sz w:val="24"/>
          <w:szCs w:val="24"/>
          <w:shd w:val="clear" w:color="auto" w:fill="FFFFFF"/>
        </w:rPr>
        <w:t xml:space="preserve">No se encontraron diferencias entre la rifapentina/isoniazida e isoniazida sola </w:t>
      </w:r>
      <w:r w:rsidR="00C24819">
        <w:rPr>
          <w:rStyle w:val="normaltextrun"/>
          <w:rFonts w:ascii="Arial" w:hAnsi="Arial" w:cs="Arial"/>
          <w:color w:val="000000"/>
          <w:sz w:val="24"/>
          <w:szCs w:val="24"/>
          <w:shd w:val="clear" w:color="auto" w:fill="FFFFFF"/>
        </w:rPr>
        <w:t>para</w:t>
      </w:r>
      <w:r w:rsidR="00995568" w:rsidRPr="00AA6569">
        <w:rPr>
          <w:rStyle w:val="normaltextrun"/>
          <w:rFonts w:ascii="Arial" w:hAnsi="Arial" w:cs="Arial"/>
          <w:color w:val="000000"/>
          <w:sz w:val="24"/>
          <w:szCs w:val="24"/>
          <w:shd w:val="clear" w:color="auto" w:fill="FFFFFF"/>
        </w:rPr>
        <w:t xml:space="preserve"> </w:t>
      </w:r>
      <w:r w:rsidR="005D1BD7">
        <w:rPr>
          <w:rStyle w:val="normaltextrun"/>
          <w:rFonts w:ascii="Arial" w:hAnsi="Arial" w:cs="Arial"/>
          <w:color w:val="000000"/>
          <w:sz w:val="24"/>
          <w:szCs w:val="24"/>
          <w:shd w:val="clear" w:color="auto" w:fill="FFFFFF"/>
        </w:rPr>
        <w:t>prevenir la</w:t>
      </w:r>
      <w:r w:rsidR="00995568" w:rsidRPr="00AA6569">
        <w:rPr>
          <w:rStyle w:val="normaltextrun"/>
          <w:rFonts w:ascii="Arial" w:hAnsi="Arial" w:cs="Arial"/>
          <w:color w:val="000000"/>
          <w:sz w:val="24"/>
          <w:szCs w:val="24"/>
          <w:shd w:val="clear" w:color="auto" w:fill="FFFFFF"/>
        </w:rPr>
        <w:t xml:space="preserve"> TB activa en</w:t>
      </w:r>
      <w:r w:rsidR="00AA6569">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PVVIH</w:t>
      </w:r>
      <w:r w:rsidR="00995568" w:rsidRPr="00AA6569">
        <w:rPr>
          <w:rStyle w:val="normaltextrun"/>
          <w:rFonts w:ascii="Arial" w:hAnsi="Arial" w:cs="Arial"/>
          <w:color w:val="000000"/>
          <w:sz w:val="24"/>
          <w:szCs w:val="24"/>
          <w:shd w:val="clear" w:color="auto" w:fill="FFFFFF"/>
        </w:rPr>
        <w:t xml:space="preserve"> (RR: 0.95, IC95% 0.56</w:t>
      </w:r>
      <w:r w:rsidR="00774DA7">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 xml:space="preserve">1.60). </w:t>
      </w:r>
      <w:r w:rsidR="00473E5F">
        <w:rPr>
          <w:rStyle w:val="normaltextrun"/>
          <w:rFonts w:ascii="Arial" w:hAnsi="Arial" w:cs="Arial"/>
          <w:color w:val="000000"/>
          <w:sz w:val="24"/>
          <w:szCs w:val="24"/>
          <w:shd w:val="clear" w:color="auto" w:fill="FFFFFF"/>
        </w:rPr>
        <w:t>Se encontró</w:t>
      </w:r>
      <w:r w:rsidR="00473E5F" w:rsidRPr="00AA6569">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menor riesgo de hepatotoxicidad ≥ grado 3</w:t>
      </w:r>
      <w:r w:rsidR="00514E7C">
        <w:rPr>
          <w:rStyle w:val="normaltextrun"/>
          <w:rFonts w:ascii="Arial" w:hAnsi="Arial" w:cs="Arial"/>
          <w:b/>
          <w:bCs/>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con rifapentina/isoniazida (RR: 0.26, IC95%</w:t>
      </w:r>
      <w:r w:rsidR="00774DA7">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0.12</w:t>
      </w:r>
      <w:r w:rsidR="00774DA7">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0.60)</w:t>
      </w:r>
      <w:r w:rsidR="001A2582">
        <w:rPr>
          <w:rStyle w:val="normaltextrun"/>
          <w:rFonts w:ascii="Arial" w:hAnsi="Arial" w:cs="Arial"/>
          <w:color w:val="000000"/>
          <w:sz w:val="24"/>
          <w:szCs w:val="24"/>
          <w:shd w:val="clear" w:color="auto" w:fill="FFFFFF"/>
        </w:rPr>
        <w:t>; p</w:t>
      </w:r>
      <w:r w:rsidR="00AA6569">
        <w:rPr>
          <w:rStyle w:val="normaltextrun"/>
          <w:rFonts w:ascii="Arial" w:hAnsi="Arial" w:cs="Arial"/>
          <w:color w:val="000000"/>
          <w:sz w:val="24"/>
          <w:szCs w:val="24"/>
          <w:shd w:val="clear" w:color="auto" w:fill="FFFFFF"/>
        </w:rPr>
        <w:t>ero</w:t>
      </w:r>
      <w:r w:rsidR="00995568" w:rsidRPr="00AA6569">
        <w:rPr>
          <w:rStyle w:val="normaltextrun"/>
          <w:rFonts w:ascii="Arial" w:hAnsi="Arial" w:cs="Arial"/>
          <w:color w:val="000000"/>
          <w:sz w:val="24"/>
          <w:szCs w:val="24"/>
          <w:shd w:val="clear" w:color="auto" w:fill="FFFFFF"/>
        </w:rPr>
        <w:t xml:space="preserve"> mayor probabilidad de cumplimiento de</w:t>
      </w:r>
      <w:r w:rsidR="005D1BD7">
        <w:rPr>
          <w:rStyle w:val="normaltextrun"/>
          <w:rFonts w:ascii="Arial" w:hAnsi="Arial" w:cs="Arial"/>
          <w:color w:val="000000"/>
          <w:sz w:val="24"/>
          <w:szCs w:val="24"/>
          <w:shd w:val="clear" w:color="auto" w:fill="FFFFFF"/>
        </w:rPr>
        <w:t>l</w:t>
      </w:r>
      <w:r w:rsidR="00995568" w:rsidRPr="00AA6569">
        <w:rPr>
          <w:rStyle w:val="normaltextrun"/>
          <w:rFonts w:ascii="Arial" w:hAnsi="Arial" w:cs="Arial"/>
          <w:color w:val="000000"/>
          <w:sz w:val="24"/>
          <w:szCs w:val="24"/>
          <w:shd w:val="clear" w:color="auto" w:fill="FFFFFF"/>
        </w:rPr>
        <w:t xml:space="preserve"> tratamiento</w:t>
      </w:r>
      <w:r w:rsidR="00514E7C">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con</w:t>
      </w:r>
      <w:r w:rsidR="00995568" w:rsidRPr="00AA6569">
        <w:rPr>
          <w:rStyle w:val="normaltextrun"/>
          <w:rFonts w:ascii="Arial" w:hAnsi="Arial" w:cs="Arial"/>
          <w:color w:val="000000"/>
          <w:sz w:val="24"/>
          <w:szCs w:val="24"/>
          <w:shd w:val="clear" w:color="auto" w:fill="FFFFFF"/>
        </w:rPr>
        <w:t xml:space="preserve"> isoniazida sola</w:t>
      </w:r>
      <w:r w:rsidR="00720DAE">
        <w:rPr>
          <w:rStyle w:val="normaltextrun"/>
          <w:rFonts w:ascii="Arial" w:hAnsi="Arial" w:cs="Arial"/>
          <w:color w:val="000000"/>
          <w:sz w:val="24"/>
          <w:szCs w:val="24"/>
          <w:shd w:val="clear" w:color="auto" w:fill="FFFFFF"/>
        </w:rPr>
        <w:t>,</w:t>
      </w:r>
      <w:r w:rsidR="007A6E3B">
        <w:rPr>
          <w:rStyle w:val="normaltextrun"/>
          <w:rFonts w:ascii="Arial" w:hAnsi="Arial" w:cs="Arial"/>
          <w:color w:val="000000"/>
          <w:sz w:val="24"/>
          <w:szCs w:val="24"/>
          <w:shd w:val="clear" w:color="auto" w:fill="FFFFFF"/>
        </w:rPr>
        <w:t xml:space="preserve"> tanto en </w:t>
      </w:r>
      <w:r>
        <w:rPr>
          <w:rStyle w:val="normaltextrun"/>
          <w:rFonts w:ascii="Arial" w:hAnsi="Arial" w:cs="Arial"/>
          <w:color w:val="000000"/>
          <w:sz w:val="24"/>
          <w:szCs w:val="24"/>
          <w:shd w:val="clear" w:color="auto" w:fill="FFFFFF"/>
        </w:rPr>
        <w:t>PV</w:t>
      </w:r>
      <w:r w:rsidR="007A6E3B">
        <w:rPr>
          <w:rStyle w:val="normaltextrun"/>
          <w:rFonts w:ascii="Arial" w:hAnsi="Arial" w:cs="Arial"/>
          <w:color w:val="000000"/>
          <w:sz w:val="24"/>
          <w:szCs w:val="24"/>
          <w:shd w:val="clear" w:color="auto" w:fill="FFFFFF"/>
        </w:rPr>
        <w:t>VIH</w:t>
      </w:r>
      <w:r w:rsidR="00514E7C">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(RR: 1.17, IC95% 0.85</w:t>
      </w:r>
      <w:r w:rsidR="00A85171">
        <w:rPr>
          <w:rStyle w:val="normaltextrun"/>
          <w:rFonts w:ascii="Arial" w:hAnsi="Arial" w:cs="Arial"/>
          <w:color w:val="000000"/>
          <w:sz w:val="24"/>
          <w:szCs w:val="24"/>
          <w:shd w:val="clear" w:color="auto" w:fill="FFFFFF"/>
        </w:rPr>
        <w:t xml:space="preserve">; </w:t>
      </w:r>
      <w:r w:rsidR="00995568" w:rsidRPr="00AA6569">
        <w:rPr>
          <w:rStyle w:val="normaltextrun"/>
          <w:rFonts w:ascii="Arial" w:hAnsi="Arial" w:cs="Arial"/>
          <w:color w:val="000000"/>
          <w:sz w:val="24"/>
          <w:szCs w:val="24"/>
          <w:shd w:val="clear" w:color="auto" w:fill="FFFFFF"/>
        </w:rPr>
        <w:t>1.63</w:t>
      </w:r>
      <w:r w:rsidR="007A6E3B">
        <w:rPr>
          <w:rStyle w:val="normaltextrun"/>
          <w:rFonts w:ascii="Arial" w:hAnsi="Arial" w:cs="Arial"/>
          <w:color w:val="000000"/>
          <w:sz w:val="24"/>
          <w:szCs w:val="24"/>
          <w:shd w:val="clear" w:color="auto" w:fill="FFFFFF"/>
        </w:rPr>
        <w:t xml:space="preserve">) como en las personas sin VIH </w:t>
      </w:r>
      <w:r w:rsidR="5141EA98" w:rsidRPr="00AA6569">
        <w:rPr>
          <w:rFonts w:ascii="Arial" w:eastAsia="Arial" w:hAnsi="Arial" w:cs="Arial"/>
          <w:sz w:val="24"/>
          <w:szCs w:val="24"/>
        </w:rPr>
        <w:t>(RR: 1.13, IC95% 1.00</w:t>
      </w:r>
      <w:r w:rsidR="00A85171">
        <w:rPr>
          <w:rFonts w:ascii="Arial" w:eastAsia="Arial" w:hAnsi="Arial" w:cs="Arial"/>
          <w:sz w:val="24"/>
          <w:szCs w:val="24"/>
        </w:rPr>
        <w:t xml:space="preserve">; </w:t>
      </w:r>
      <w:r w:rsidR="5141EA98" w:rsidRPr="00AA6569">
        <w:rPr>
          <w:rFonts w:ascii="Arial" w:eastAsia="Arial" w:hAnsi="Arial" w:cs="Arial"/>
          <w:sz w:val="24"/>
          <w:szCs w:val="24"/>
        </w:rPr>
        <w:t>1.28).</w:t>
      </w:r>
      <w:r w:rsidR="005D3494" w:rsidRPr="00AA6569">
        <w:rPr>
          <w:rFonts w:ascii="Arial" w:eastAsia="Arial" w:hAnsi="Arial" w:cs="Arial"/>
          <w:sz w:val="24"/>
          <w:szCs w:val="24"/>
        </w:rPr>
        <w:t xml:space="preserve"> </w:t>
      </w:r>
      <w:r>
        <w:rPr>
          <w:rFonts w:ascii="Arial" w:eastAsia="Arial" w:hAnsi="Arial" w:cs="Arial"/>
          <w:sz w:val="24"/>
          <w:szCs w:val="24"/>
        </w:rPr>
        <w:t xml:space="preserve"> </w:t>
      </w:r>
      <w:r w:rsidR="5141EA98" w:rsidRPr="5141EA98">
        <w:rPr>
          <w:rFonts w:ascii="Arial" w:eastAsia="Arial" w:hAnsi="Arial" w:cs="Arial"/>
          <w:b/>
          <w:bCs/>
          <w:color w:val="000000" w:themeColor="text1"/>
          <w:sz w:val="24"/>
          <w:szCs w:val="24"/>
          <w:lang w:val="es"/>
        </w:rPr>
        <w:t>Discusión</w:t>
      </w:r>
      <w:r>
        <w:rPr>
          <w:rFonts w:ascii="Arial" w:eastAsia="Arial" w:hAnsi="Arial" w:cs="Arial"/>
          <w:b/>
          <w:bCs/>
          <w:color w:val="000000" w:themeColor="text1"/>
          <w:sz w:val="24"/>
          <w:szCs w:val="24"/>
          <w:lang w:val="es"/>
        </w:rPr>
        <w:t xml:space="preserve">: </w:t>
      </w:r>
      <w:r w:rsidR="00951712">
        <w:rPr>
          <w:rFonts w:ascii="Arial" w:eastAsia="Arial" w:hAnsi="Arial" w:cs="Arial"/>
          <w:color w:val="000000" w:themeColor="text1"/>
          <w:sz w:val="24"/>
          <w:szCs w:val="24"/>
          <w:lang w:val="es"/>
        </w:rPr>
        <w:t>se encontraron pocos estudios y los datos fueron insuficientes para realizar análisis planificados, l</w:t>
      </w:r>
      <w:r w:rsidR="5141EA98" w:rsidRPr="00234783">
        <w:rPr>
          <w:rFonts w:ascii="Arial" w:eastAsia="Arial" w:hAnsi="Arial" w:cs="Arial"/>
          <w:color w:val="000000" w:themeColor="text1"/>
          <w:sz w:val="24"/>
          <w:szCs w:val="24"/>
          <w:lang w:val="es"/>
        </w:rPr>
        <w:t xml:space="preserve">a evidencia </w:t>
      </w:r>
      <w:r w:rsidR="00951712">
        <w:rPr>
          <w:rFonts w:ascii="Arial" w:eastAsia="Arial" w:hAnsi="Arial" w:cs="Arial"/>
          <w:color w:val="000000" w:themeColor="text1"/>
          <w:sz w:val="24"/>
          <w:szCs w:val="24"/>
          <w:lang w:val="es"/>
        </w:rPr>
        <w:t>se calificó con</w:t>
      </w:r>
      <w:r>
        <w:rPr>
          <w:rFonts w:ascii="Arial" w:eastAsia="Arial" w:hAnsi="Arial" w:cs="Arial"/>
          <w:color w:val="000000" w:themeColor="text1"/>
          <w:sz w:val="24"/>
          <w:szCs w:val="24"/>
          <w:lang w:val="es"/>
        </w:rPr>
        <w:t xml:space="preserve"> muy </w:t>
      </w:r>
      <w:r w:rsidRPr="00234783">
        <w:rPr>
          <w:rFonts w:ascii="Arial" w:eastAsia="Arial" w:hAnsi="Arial" w:cs="Arial"/>
          <w:color w:val="000000" w:themeColor="text1"/>
          <w:sz w:val="24"/>
          <w:szCs w:val="24"/>
          <w:lang w:val="es"/>
        </w:rPr>
        <w:t>bajo</w:t>
      </w:r>
      <w:r w:rsidR="5141EA98" w:rsidRPr="00234783">
        <w:rPr>
          <w:rFonts w:ascii="Arial" w:eastAsia="Arial" w:hAnsi="Arial" w:cs="Arial"/>
          <w:color w:val="000000" w:themeColor="text1"/>
          <w:sz w:val="24"/>
          <w:szCs w:val="24"/>
          <w:lang w:val="es"/>
        </w:rPr>
        <w:t xml:space="preserve"> nivel de certeza, debido a </w:t>
      </w:r>
      <w:r w:rsidR="005D1BD7" w:rsidRPr="00234783">
        <w:rPr>
          <w:rFonts w:ascii="Arial" w:eastAsia="Arial" w:hAnsi="Arial" w:cs="Arial"/>
          <w:color w:val="000000" w:themeColor="text1"/>
          <w:sz w:val="24"/>
          <w:szCs w:val="24"/>
          <w:lang w:val="es"/>
        </w:rPr>
        <w:t xml:space="preserve">serias </w:t>
      </w:r>
      <w:r w:rsidR="5141EA98" w:rsidRPr="00234783">
        <w:rPr>
          <w:rFonts w:ascii="Arial" w:eastAsia="Arial" w:hAnsi="Arial" w:cs="Arial"/>
          <w:color w:val="000000" w:themeColor="text1"/>
          <w:sz w:val="24"/>
          <w:szCs w:val="24"/>
          <w:lang w:val="es"/>
        </w:rPr>
        <w:t>limitaciones por riesgo</w:t>
      </w:r>
      <w:r w:rsidR="005D1BD7" w:rsidRPr="00234783">
        <w:rPr>
          <w:rFonts w:ascii="Arial" w:eastAsia="Arial" w:hAnsi="Arial" w:cs="Arial"/>
          <w:color w:val="000000" w:themeColor="text1"/>
          <w:sz w:val="24"/>
          <w:szCs w:val="24"/>
          <w:lang w:val="es"/>
        </w:rPr>
        <w:t>s</w:t>
      </w:r>
      <w:r w:rsidR="5141EA98" w:rsidRPr="00234783">
        <w:rPr>
          <w:rFonts w:ascii="Arial" w:eastAsia="Arial" w:hAnsi="Arial" w:cs="Arial"/>
          <w:color w:val="000000" w:themeColor="text1"/>
          <w:sz w:val="24"/>
          <w:szCs w:val="24"/>
          <w:lang w:val="es"/>
        </w:rPr>
        <w:t xml:space="preserve"> de sesgo</w:t>
      </w:r>
      <w:r w:rsidR="005D1BD7" w:rsidRPr="00234783">
        <w:rPr>
          <w:rFonts w:ascii="Arial" w:eastAsia="Arial" w:hAnsi="Arial" w:cs="Arial"/>
          <w:color w:val="000000" w:themeColor="text1"/>
          <w:sz w:val="24"/>
          <w:szCs w:val="24"/>
          <w:lang w:val="es"/>
        </w:rPr>
        <w:t>s</w:t>
      </w:r>
      <w:r w:rsidR="00951712">
        <w:rPr>
          <w:rFonts w:ascii="Arial" w:eastAsia="Arial" w:hAnsi="Arial" w:cs="Arial"/>
          <w:color w:val="000000" w:themeColor="text1"/>
          <w:sz w:val="24"/>
          <w:szCs w:val="24"/>
          <w:lang w:val="es"/>
        </w:rPr>
        <w:t xml:space="preserve">, inconsistencia e imprecisión. </w:t>
      </w:r>
      <w:r w:rsidR="5141EA98" w:rsidRPr="5141EA98">
        <w:rPr>
          <w:rFonts w:ascii="Arial" w:eastAsia="Arial" w:hAnsi="Arial" w:cs="Arial"/>
          <w:color w:val="000000" w:themeColor="text1"/>
          <w:sz w:val="24"/>
          <w:szCs w:val="24"/>
          <w:lang w:val="es"/>
        </w:rPr>
        <w:t xml:space="preserve">Es necesario realizar </w:t>
      </w:r>
      <w:r w:rsidR="00473E5F">
        <w:rPr>
          <w:rFonts w:ascii="Arial" w:eastAsia="Arial" w:hAnsi="Arial" w:cs="Arial"/>
          <w:color w:val="000000" w:themeColor="text1"/>
          <w:sz w:val="24"/>
          <w:szCs w:val="24"/>
          <w:lang w:val="es"/>
        </w:rPr>
        <w:t xml:space="preserve">más </w:t>
      </w:r>
      <w:r w:rsidR="5141EA98" w:rsidRPr="5141EA98">
        <w:rPr>
          <w:rFonts w:ascii="Arial" w:eastAsia="Arial" w:hAnsi="Arial" w:cs="Arial"/>
          <w:color w:val="000000" w:themeColor="text1"/>
          <w:sz w:val="24"/>
          <w:szCs w:val="24"/>
          <w:lang w:val="es"/>
        </w:rPr>
        <w:t>estudios para determinar la eficacia</w:t>
      </w:r>
      <w:r w:rsidR="0005106C">
        <w:rPr>
          <w:rFonts w:ascii="Arial" w:eastAsia="Arial" w:hAnsi="Arial" w:cs="Arial"/>
          <w:color w:val="000000" w:themeColor="text1"/>
          <w:sz w:val="24"/>
          <w:szCs w:val="24"/>
          <w:lang w:val="es"/>
        </w:rPr>
        <w:t>,</w:t>
      </w:r>
      <w:r w:rsidR="5141EA98" w:rsidRPr="5141EA98">
        <w:rPr>
          <w:rFonts w:ascii="Arial" w:eastAsia="Arial" w:hAnsi="Arial" w:cs="Arial"/>
          <w:color w:val="000000" w:themeColor="text1"/>
          <w:sz w:val="24"/>
          <w:szCs w:val="24"/>
          <w:lang w:val="es"/>
        </w:rPr>
        <w:t xml:space="preserve"> seguridad </w:t>
      </w:r>
      <w:r w:rsidR="0005106C">
        <w:rPr>
          <w:rFonts w:ascii="Arial" w:eastAsia="Arial" w:hAnsi="Arial" w:cs="Arial"/>
          <w:color w:val="000000" w:themeColor="text1"/>
          <w:sz w:val="24"/>
          <w:szCs w:val="24"/>
          <w:lang w:val="es"/>
        </w:rPr>
        <w:t xml:space="preserve">y cumplimiento </w:t>
      </w:r>
      <w:r w:rsidR="5141EA98" w:rsidRPr="5141EA98">
        <w:rPr>
          <w:rFonts w:ascii="Arial" w:eastAsia="Arial" w:hAnsi="Arial" w:cs="Arial"/>
          <w:color w:val="000000" w:themeColor="text1"/>
          <w:sz w:val="24"/>
          <w:szCs w:val="24"/>
          <w:lang w:val="es"/>
        </w:rPr>
        <w:t>de la rifapentina/isoniazida</w:t>
      </w:r>
      <w:r>
        <w:rPr>
          <w:rFonts w:ascii="Arial" w:eastAsia="Arial" w:hAnsi="Arial" w:cs="Arial"/>
          <w:color w:val="000000" w:themeColor="text1"/>
          <w:sz w:val="24"/>
          <w:szCs w:val="24"/>
          <w:lang w:val="es"/>
        </w:rPr>
        <w:t>.</w:t>
      </w:r>
    </w:p>
    <w:p w14:paraId="0EC2CBBB" w14:textId="4355CD2D" w:rsidR="25FC8059" w:rsidRDefault="5141EA98" w:rsidP="0069138C">
      <w:pPr>
        <w:spacing w:line="360" w:lineRule="auto"/>
        <w:jc w:val="both"/>
        <w:rPr>
          <w:rFonts w:ascii="Arial" w:eastAsia="Arial" w:hAnsi="Arial" w:cs="Arial"/>
          <w:sz w:val="24"/>
          <w:szCs w:val="24"/>
        </w:rPr>
      </w:pPr>
      <w:r w:rsidRPr="005D3494">
        <w:rPr>
          <w:rFonts w:ascii="Arial" w:eastAsia="Arial" w:hAnsi="Arial" w:cs="Arial"/>
          <w:b/>
          <w:bCs/>
          <w:sz w:val="24"/>
          <w:szCs w:val="24"/>
        </w:rPr>
        <w:t>Palabras clave</w:t>
      </w:r>
      <w:r w:rsidR="00951712">
        <w:rPr>
          <w:rFonts w:ascii="Arial" w:eastAsia="Arial" w:hAnsi="Arial" w:cs="Arial"/>
          <w:b/>
          <w:bCs/>
          <w:sz w:val="24"/>
          <w:szCs w:val="24"/>
        </w:rPr>
        <w:t xml:space="preserve">: </w:t>
      </w:r>
      <w:r w:rsidR="00951712" w:rsidRPr="00951712">
        <w:rPr>
          <w:rFonts w:ascii="Arial" w:eastAsia="Arial" w:hAnsi="Arial" w:cs="Arial"/>
          <w:sz w:val="24"/>
          <w:szCs w:val="24"/>
        </w:rPr>
        <w:t>T</w:t>
      </w:r>
      <w:r w:rsidR="00951712" w:rsidRPr="005D3494">
        <w:rPr>
          <w:rFonts w:ascii="Arial" w:eastAsia="Arial" w:hAnsi="Arial" w:cs="Arial"/>
          <w:sz w:val="24"/>
          <w:szCs w:val="24"/>
        </w:rPr>
        <w:t>uberculosis, Inmunodepresión, Rifapentina, Isoniazida, Revisión Sistemática, Metaanálisis</w:t>
      </w:r>
      <w:r w:rsidR="00951712">
        <w:rPr>
          <w:rFonts w:ascii="Arial" w:eastAsia="Arial" w:hAnsi="Arial" w:cs="Arial"/>
          <w:sz w:val="24"/>
          <w:szCs w:val="24"/>
        </w:rPr>
        <w:t>.</w:t>
      </w:r>
    </w:p>
    <w:p w14:paraId="4DACFE01" w14:textId="00995139" w:rsidR="00951712" w:rsidRDefault="00951712" w:rsidP="0069138C">
      <w:pPr>
        <w:spacing w:line="360" w:lineRule="auto"/>
        <w:jc w:val="both"/>
        <w:rPr>
          <w:rFonts w:ascii="Arial" w:eastAsia="Arial" w:hAnsi="Arial" w:cs="Arial"/>
          <w:sz w:val="24"/>
          <w:szCs w:val="24"/>
        </w:rPr>
      </w:pPr>
    </w:p>
    <w:bookmarkEnd w:id="3"/>
    <w:p w14:paraId="14CD978E" w14:textId="2E3BDDA2" w:rsidR="00951712" w:rsidRDefault="00951712" w:rsidP="0069138C">
      <w:pPr>
        <w:spacing w:line="360" w:lineRule="auto"/>
        <w:jc w:val="both"/>
        <w:rPr>
          <w:rFonts w:ascii="Arial" w:eastAsia="Arial" w:hAnsi="Arial" w:cs="Arial"/>
          <w:sz w:val="24"/>
          <w:szCs w:val="24"/>
        </w:rPr>
      </w:pPr>
    </w:p>
    <w:p w14:paraId="49B253EC" w14:textId="594A728A" w:rsidR="00951712" w:rsidRDefault="00951712" w:rsidP="0069138C">
      <w:pPr>
        <w:spacing w:line="360" w:lineRule="auto"/>
        <w:jc w:val="both"/>
        <w:rPr>
          <w:rFonts w:ascii="Arial" w:eastAsia="Arial" w:hAnsi="Arial" w:cs="Arial"/>
          <w:sz w:val="24"/>
          <w:szCs w:val="24"/>
        </w:rPr>
      </w:pPr>
    </w:p>
    <w:p w14:paraId="18190C93" w14:textId="14042139" w:rsidR="00951712" w:rsidRDefault="00951712" w:rsidP="0069138C">
      <w:pPr>
        <w:spacing w:line="360" w:lineRule="auto"/>
        <w:jc w:val="both"/>
        <w:rPr>
          <w:rFonts w:ascii="Arial" w:eastAsia="Arial" w:hAnsi="Arial" w:cs="Arial"/>
          <w:sz w:val="24"/>
          <w:szCs w:val="24"/>
        </w:rPr>
      </w:pPr>
    </w:p>
    <w:p w14:paraId="7D7B358F" w14:textId="7AC2B571" w:rsidR="00951712" w:rsidRDefault="00951712" w:rsidP="0069138C">
      <w:pPr>
        <w:spacing w:line="360" w:lineRule="auto"/>
        <w:jc w:val="both"/>
        <w:rPr>
          <w:rFonts w:ascii="Arial" w:eastAsia="Arial" w:hAnsi="Arial" w:cs="Arial"/>
          <w:sz w:val="24"/>
          <w:szCs w:val="24"/>
        </w:rPr>
      </w:pPr>
    </w:p>
    <w:p w14:paraId="1AB7B20E" w14:textId="6173BA86" w:rsidR="00951712" w:rsidRDefault="00951712" w:rsidP="005675F4">
      <w:pPr>
        <w:spacing w:line="360" w:lineRule="auto"/>
        <w:jc w:val="center"/>
        <w:rPr>
          <w:rFonts w:ascii="Arial" w:eastAsia="Arial" w:hAnsi="Arial" w:cs="Arial"/>
          <w:b/>
          <w:bCs/>
          <w:sz w:val="24"/>
          <w:szCs w:val="24"/>
        </w:rPr>
      </w:pPr>
      <w:r w:rsidRPr="00951712">
        <w:rPr>
          <w:rFonts w:ascii="Arial" w:eastAsia="Arial" w:hAnsi="Arial" w:cs="Arial"/>
          <w:b/>
          <w:bCs/>
          <w:sz w:val="24"/>
          <w:szCs w:val="24"/>
        </w:rPr>
        <w:lastRenderedPageBreak/>
        <w:t>Abstract</w:t>
      </w:r>
    </w:p>
    <w:p w14:paraId="2FC7A0E4" w14:textId="77777777" w:rsidR="002B3708" w:rsidRDefault="002B3708" w:rsidP="002B3708">
      <w:pPr>
        <w:spacing w:line="240" w:lineRule="auto"/>
        <w:jc w:val="center"/>
        <w:rPr>
          <w:rFonts w:ascii="Arial" w:eastAsia="Arial" w:hAnsi="Arial" w:cs="Arial"/>
          <w:b/>
          <w:bCs/>
          <w:sz w:val="24"/>
          <w:szCs w:val="24"/>
        </w:rPr>
      </w:pPr>
    </w:p>
    <w:p w14:paraId="19FFDF40" w14:textId="77777777" w:rsidR="002B3708" w:rsidRPr="002B3708" w:rsidRDefault="002B3708" w:rsidP="002B3708">
      <w:pPr>
        <w:spacing w:line="360" w:lineRule="auto"/>
        <w:jc w:val="both"/>
        <w:rPr>
          <w:rFonts w:ascii="Arial" w:eastAsia="Arial" w:hAnsi="Arial" w:cs="Arial"/>
          <w:sz w:val="24"/>
          <w:szCs w:val="24"/>
          <w:lang w:val="en-US"/>
        </w:rPr>
      </w:pPr>
      <w:r w:rsidRPr="002B3708">
        <w:rPr>
          <w:rFonts w:ascii="Arial" w:eastAsia="Arial" w:hAnsi="Arial" w:cs="Arial"/>
          <w:b/>
          <w:sz w:val="24"/>
          <w:szCs w:val="24"/>
          <w:lang w:val="en-US"/>
        </w:rPr>
        <w:t>Objective</w:t>
      </w:r>
      <w:r w:rsidRPr="002B3708">
        <w:rPr>
          <w:rFonts w:ascii="Arial" w:eastAsia="Arial" w:hAnsi="Arial" w:cs="Arial"/>
          <w:sz w:val="24"/>
          <w:szCs w:val="24"/>
          <w:lang w:val="en-US"/>
        </w:rPr>
        <w:t xml:space="preserve">: to evaluate the efficacy and safety of the rifapentine / isoniazid combination compared to isoniazid in the prevention of active TB in people with secondary immunosuppression. </w:t>
      </w:r>
      <w:r w:rsidRPr="002B3708">
        <w:rPr>
          <w:rFonts w:ascii="Arial" w:eastAsia="Arial" w:hAnsi="Arial" w:cs="Arial"/>
          <w:b/>
          <w:sz w:val="24"/>
          <w:szCs w:val="24"/>
          <w:lang w:val="en-US"/>
        </w:rPr>
        <w:t>Methods</w:t>
      </w:r>
      <w:r w:rsidRPr="002B3708">
        <w:rPr>
          <w:rFonts w:ascii="Arial" w:eastAsia="Arial" w:hAnsi="Arial" w:cs="Arial"/>
          <w:sz w:val="24"/>
          <w:szCs w:val="24"/>
          <w:lang w:val="en-US"/>
        </w:rPr>
        <w:t xml:space="preserve">: We included randomized clinical trials (RCTs) and cohort studies in people with secondary immunosuppression and positive tuberculin test or interferon gamma release. The search was done in PubMed, Cochrane, Embase, LILACS, Scopus, also in gray literature repositories and manually. Risk of bias was assessed using RoB2 for RCTs and ROBINS-I for cohort studies. Subgroup meta-analyzes were performed using the random effects model. </w:t>
      </w:r>
      <w:r w:rsidRPr="002B3708">
        <w:rPr>
          <w:rFonts w:ascii="Arial" w:eastAsia="Arial" w:hAnsi="Arial" w:cs="Arial"/>
          <w:b/>
          <w:sz w:val="24"/>
          <w:szCs w:val="24"/>
          <w:lang w:val="en-US"/>
        </w:rPr>
        <w:t>Results</w:t>
      </w:r>
      <w:r w:rsidRPr="002B3708">
        <w:rPr>
          <w:rFonts w:ascii="Arial" w:eastAsia="Arial" w:hAnsi="Arial" w:cs="Arial"/>
          <w:sz w:val="24"/>
          <w:szCs w:val="24"/>
          <w:lang w:val="en-US"/>
        </w:rPr>
        <w:t xml:space="preserve">: 3 RCTs with 1,689 people living with HIV (PLHIV) and 3 cohort studies with 335 non-HIV participants who had secondary immunosuppression. No differences were found between rifapentine / isoniazid and isoniazid alone in preventing active TB in PLHIV </w:t>
      </w:r>
      <w:r w:rsidRPr="002B3708">
        <w:rPr>
          <w:rStyle w:val="normaltextrun"/>
          <w:rFonts w:ascii="Arial" w:hAnsi="Arial" w:cs="Arial"/>
          <w:color w:val="000000"/>
          <w:sz w:val="24"/>
          <w:szCs w:val="24"/>
          <w:shd w:val="clear" w:color="auto" w:fill="FFFFFF"/>
          <w:lang w:val="en-US"/>
        </w:rPr>
        <w:t>(RR: 0.95, IC95% 0.56; 1.60). A lower risk of ≥ grade 3 hepatotoxicity was found with rifapentine / isoniazid (RR: 0.26, 95% CI 0.12; 0.60); but greater probability of compliance of treatment with isoniazid alone, both in PLHIV (RR: 1.17, 95% CI 0.85, 1.63) and in people without HIV (RR: 1.13, 95% CI 1.00, 1.28). Discussion: few studies were found and the data were insufficient to perform planned analyzes, the evidence was rated with a very low level of certainty, due to serious limitations due to risks of bias, inconsistency and imprecision. More studies are needed to determine the efficacy, safety, and compliance of rifapentine / isoniazid.</w:t>
      </w:r>
    </w:p>
    <w:p w14:paraId="0824542C" w14:textId="77777777" w:rsidR="002B3708" w:rsidRPr="006323DF" w:rsidRDefault="002B3708" w:rsidP="002B3708">
      <w:pPr>
        <w:spacing w:line="360" w:lineRule="auto"/>
        <w:jc w:val="both"/>
        <w:rPr>
          <w:rFonts w:ascii="Arial" w:eastAsia="Arial" w:hAnsi="Arial" w:cs="Arial"/>
          <w:sz w:val="24"/>
          <w:szCs w:val="24"/>
          <w:lang w:val="en-US"/>
        </w:rPr>
      </w:pPr>
      <w:r w:rsidRPr="006323DF">
        <w:rPr>
          <w:rFonts w:ascii="Arial" w:eastAsia="Arial" w:hAnsi="Arial" w:cs="Arial"/>
          <w:b/>
          <w:sz w:val="24"/>
          <w:szCs w:val="24"/>
          <w:lang w:val="en-US"/>
        </w:rPr>
        <w:t>Keywords</w:t>
      </w:r>
      <w:r w:rsidRPr="006323DF">
        <w:rPr>
          <w:rFonts w:ascii="Arial" w:eastAsia="Arial" w:hAnsi="Arial" w:cs="Arial"/>
          <w:sz w:val="24"/>
          <w:szCs w:val="24"/>
          <w:lang w:val="en-US"/>
        </w:rPr>
        <w:t>: Tuberculosis, Immunosuppression, Rifapentine, Isoniazid, Systematic Review, Meta-analysis.</w:t>
      </w:r>
    </w:p>
    <w:p w14:paraId="2C403846" w14:textId="77777777" w:rsidR="002B3708" w:rsidRPr="00951712" w:rsidRDefault="002B3708" w:rsidP="002B3708">
      <w:pPr>
        <w:spacing w:line="360" w:lineRule="auto"/>
        <w:jc w:val="both"/>
        <w:rPr>
          <w:rFonts w:ascii="Arial" w:eastAsia="Arial" w:hAnsi="Arial" w:cs="Arial"/>
          <w:b/>
          <w:bCs/>
          <w:sz w:val="24"/>
          <w:szCs w:val="24"/>
        </w:rPr>
      </w:pPr>
    </w:p>
    <w:p w14:paraId="0949BA29" w14:textId="77777777" w:rsidR="00951712" w:rsidRPr="005D3494" w:rsidRDefault="00951712" w:rsidP="0069138C">
      <w:pPr>
        <w:spacing w:line="360" w:lineRule="auto"/>
        <w:jc w:val="both"/>
        <w:rPr>
          <w:rFonts w:ascii="Arial" w:eastAsia="Arial" w:hAnsi="Arial" w:cs="Arial"/>
          <w:sz w:val="24"/>
          <w:szCs w:val="24"/>
        </w:rPr>
      </w:pPr>
    </w:p>
    <w:p w14:paraId="1D556D02" w14:textId="67A5E870" w:rsidR="18D844C8" w:rsidRPr="00720DAE" w:rsidRDefault="008A3AD6" w:rsidP="007554DA">
      <w:pPr>
        <w:pStyle w:val="Ttulo1"/>
        <w:jc w:val="center"/>
        <w:rPr>
          <w:bCs/>
        </w:rPr>
      </w:pPr>
      <w:r>
        <w:br w:type="page"/>
      </w:r>
      <w:bookmarkStart w:id="4" w:name="_Toc85474266"/>
      <w:r w:rsidR="00B548E6" w:rsidRPr="00720DAE">
        <w:rPr>
          <w:bCs/>
        </w:rPr>
        <w:lastRenderedPageBreak/>
        <w:t>Introducción</w:t>
      </w:r>
      <w:bookmarkEnd w:id="4"/>
    </w:p>
    <w:p w14:paraId="7FD850C4" w14:textId="77777777" w:rsidR="002D2D64" w:rsidRPr="005D3494" w:rsidRDefault="002D2D64" w:rsidP="005D3494">
      <w:pPr>
        <w:spacing w:after="0" w:line="360" w:lineRule="auto"/>
        <w:jc w:val="both"/>
        <w:rPr>
          <w:rFonts w:ascii="Arial" w:eastAsia="Arial" w:hAnsi="Arial" w:cs="Arial"/>
          <w:sz w:val="24"/>
          <w:szCs w:val="24"/>
        </w:rPr>
      </w:pPr>
    </w:p>
    <w:p w14:paraId="721EECC0" w14:textId="32E5941A" w:rsidR="18D844C8" w:rsidRPr="005D3494"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rPr>
        <w:t xml:space="preserve">La tuberculosis (TB) activa es una enfermedad infecciosa causada por bacilos del complejo </w:t>
      </w:r>
      <w:r w:rsidRPr="005D3494">
        <w:rPr>
          <w:rFonts w:ascii="Arial" w:eastAsia="Arial" w:hAnsi="Arial" w:cs="Arial"/>
          <w:i/>
          <w:iCs/>
          <w:color w:val="000000" w:themeColor="text1"/>
          <w:sz w:val="24"/>
          <w:szCs w:val="24"/>
        </w:rPr>
        <w:t>Mycobacterium tuberculosis (M. tuberculosis)</w:t>
      </w:r>
      <w:r w:rsidR="002D692D">
        <w:rPr>
          <w:rFonts w:ascii="Arial" w:eastAsia="Arial" w:hAnsi="Arial" w:cs="Arial"/>
          <w:i/>
          <w:iCs/>
          <w:color w:val="000000" w:themeColor="text1"/>
          <w:sz w:val="24"/>
          <w:szCs w:val="24"/>
        </w:rPr>
        <w:t>,</w:t>
      </w:r>
      <w:r w:rsidRPr="005D3494">
        <w:rPr>
          <w:rFonts w:ascii="Arial" w:eastAsia="Arial" w:hAnsi="Arial" w:cs="Arial"/>
          <w:color w:val="000000" w:themeColor="text1"/>
          <w:sz w:val="24"/>
          <w:szCs w:val="24"/>
        </w:rPr>
        <w:t xml:space="preserve"> en la cual el hospedero experimenta fiebre, diaforesis, fatiga, falta de apetito y pérdida de peso. La presentación clínica más común es la TB pulmonar</w:t>
      </w:r>
      <w:r w:rsidR="00720DAE">
        <w:rPr>
          <w:rFonts w:ascii="Arial" w:eastAsia="Arial" w:hAnsi="Arial" w:cs="Arial"/>
          <w:color w:val="000000" w:themeColor="text1"/>
          <w:sz w:val="24"/>
          <w:szCs w:val="24"/>
        </w:rPr>
        <w:t>,</w:t>
      </w:r>
      <w:r w:rsidRPr="005D3494">
        <w:rPr>
          <w:rFonts w:ascii="Arial" w:eastAsia="Arial" w:hAnsi="Arial" w:cs="Arial"/>
          <w:color w:val="000000" w:themeColor="text1"/>
          <w:sz w:val="24"/>
          <w:szCs w:val="24"/>
        </w:rPr>
        <w:t xml:space="preserve"> mientras </w:t>
      </w:r>
      <w:r w:rsidR="002D692D">
        <w:rPr>
          <w:rFonts w:ascii="Arial" w:eastAsia="Arial" w:hAnsi="Arial" w:cs="Arial"/>
          <w:color w:val="000000" w:themeColor="text1"/>
          <w:sz w:val="24"/>
          <w:szCs w:val="24"/>
        </w:rPr>
        <w:t xml:space="preserve">que </w:t>
      </w:r>
      <w:r w:rsidRPr="005D3494">
        <w:rPr>
          <w:rFonts w:ascii="Arial" w:eastAsia="Arial" w:hAnsi="Arial" w:cs="Arial"/>
          <w:color w:val="000000" w:themeColor="text1"/>
          <w:sz w:val="24"/>
          <w:szCs w:val="24"/>
        </w:rPr>
        <w:t>la forma extrapulmonar es menos frecuente. Para diagnosticarla se hace la confirmación microbiológica con</w:t>
      </w:r>
      <w:r w:rsidRPr="005D3494">
        <w:rPr>
          <w:rFonts w:ascii="Arial" w:eastAsia="Arial" w:hAnsi="Arial" w:cs="Arial"/>
          <w:sz w:val="24"/>
          <w:szCs w:val="24"/>
        </w:rPr>
        <w:t xml:space="preserve"> </w:t>
      </w:r>
      <w:r w:rsidRPr="005D3494">
        <w:rPr>
          <w:rFonts w:ascii="Arial" w:eastAsia="Arial" w:hAnsi="Arial" w:cs="Arial"/>
          <w:color w:val="000000" w:themeColor="text1"/>
          <w:sz w:val="24"/>
          <w:szCs w:val="24"/>
        </w:rPr>
        <w:t>aislamiento del bacilo en cultivo</w:t>
      </w:r>
      <w:r w:rsidR="002D692D">
        <w:rPr>
          <w:rFonts w:ascii="Arial" w:eastAsia="Arial" w:hAnsi="Arial" w:cs="Arial"/>
          <w:color w:val="000000" w:themeColor="text1"/>
          <w:sz w:val="24"/>
          <w:szCs w:val="24"/>
        </w:rPr>
        <w:t xml:space="preserve">, </w:t>
      </w:r>
      <w:r w:rsidRPr="005D3494">
        <w:rPr>
          <w:rFonts w:ascii="Arial" w:eastAsia="Arial" w:hAnsi="Arial" w:cs="Arial"/>
          <w:color w:val="000000" w:themeColor="text1"/>
          <w:sz w:val="24"/>
          <w:szCs w:val="24"/>
        </w:rPr>
        <w:t>reacción positiva en cadena de la polimerasa</w:t>
      </w:r>
      <w:r w:rsidR="002D692D">
        <w:rPr>
          <w:rFonts w:ascii="Arial" w:eastAsia="Arial" w:hAnsi="Arial" w:cs="Arial"/>
          <w:color w:val="000000" w:themeColor="text1"/>
          <w:sz w:val="24"/>
          <w:szCs w:val="24"/>
        </w:rPr>
        <w:t xml:space="preserve"> o </w:t>
      </w:r>
      <w:r w:rsidRPr="005D3494">
        <w:rPr>
          <w:rFonts w:ascii="Arial" w:eastAsia="Arial" w:hAnsi="Arial" w:cs="Arial"/>
          <w:color w:val="000000" w:themeColor="text1"/>
          <w:sz w:val="24"/>
          <w:szCs w:val="24"/>
        </w:rPr>
        <w:t>mediante microscopía de frotis positiva (1).</w:t>
      </w:r>
      <w:r w:rsidR="00720DAE">
        <w:rPr>
          <w:rFonts w:ascii="Arial" w:eastAsia="Arial" w:hAnsi="Arial" w:cs="Arial"/>
          <w:color w:val="000000" w:themeColor="text1"/>
          <w:sz w:val="24"/>
          <w:szCs w:val="24"/>
        </w:rPr>
        <w:t xml:space="preserve"> </w:t>
      </w:r>
      <w:r w:rsidRPr="005D3494">
        <w:rPr>
          <w:rFonts w:ascii="Arial" w:eastAsia="Arial" w:hAnsi="Arial" w:cs="Arial"/>
          <w:sz w:val="24"/>
          <w:szCs w:val="24"/>
          <w:lang w:val="es-CO"/>
        </w:rPr>
        <w:t xml:space="preserve">Se </w:t>
      </w:r>
      <w:r w:rsidRPr="005D3494">
        <w:rPr>
          <w:rFonts w:ascii="Arial" w:eastAsia="Arial" w:hAnsi="Arial" w:cs="Arial"/>
          <w:color w:val="000000" w:themeColor="text1"/>
          <w:sz w:val="24"/>
          <w:szCs w:val="24"/>
          <w:lang w:val="es-CO"/>
        </w:rPr>
        <w:t>estima que en 2019 enfermaron 10 millones de personas</w:t>
      </w:r>
      <w:r w:rsidRPr="005D3494">
        <w:rPr>
          <w:rFonts w:ascii="Arial" w:eastAsia="Arial" w:hAnsi="Arial" w:cs="Arial"/>
          <w:color w:val="881798"/>
          <w:sz w:val="24"/>
          <w:szCs w:val="24"/>
          <w:lang w:val="es-CO"/>
        </w:rPr>
        <w:t xml:space="preserve"> </w:t>
      </w:r>
      <w:r w:rsidRPr="005D3494">
        <w:rPr>
          <w:rFonts w:ascii="Arial" w:eastAsia="Arial" w:hAnsi="Arial" w:cs="Arial"/>
          <w:color w:val="000000" w:themeColor="text1"/>
          <w:sz w:val="24"/>
          <w:szCs w:val="24"/>
          <w:lang w:val="es-CO"/>
        </w:rPr>
        <w:t>de TB (2)</w:t>
      </w:r>
      <w:r w:rsidRPr="005D3494">
        <w:rPr>
          <w:rFonts w:ascii="Arial" w:eastAsia="Arial" w:hAnsi="Arial" w:cs="Arial"/>
          <w:sz w:val="24"/>
          <w:szCs w:val="24"/>
          <w:lang w:val="es-CO"/>
        </w:rPr>
        <w:t>, siendo más afectadas las personas</w:t>
      </w:r>
      <w:r w:rsidRPr="005D3494">
        <w:rPr>
          <w:rFonts w:ascii="Arial" w:eastAsia="Arial" w:hAnsi="Arial" w:cs="Arial"/>
          <w:color w:val="000000" w:themeColor="text1"/>
          <w:sz w:val="24"/>
          <w:szCs w:val="24"/>
          <w:lang w:val="es-CO"/>
        </w:rPr>
        <w:t xml:space="preserve"> inmunodeprimidas con la expresión clínica condicionada por el grado de inmunodepresión (3).</w:t>
      </w:r>
      <w:r w:rsidR="00720DAE">
        <w:rPr>
          <w:rFonts w:ascii="Arial" w:eastAsia="Arial" w:hAnsi="Arial" w:cs="Arial"/>
          <w:color w:val="000000" w:themeColor="text1"/>
          <w:sz w:val="24"/>
          <w:szCs w:val="24"/>
          <w:lang w:val="es-CO"/>
        </w:rPr>
        <w:t xml:space="preserve"> </w:t>
      </w:r>
    </w:p>
    <w:p w14:paraId="389C565A" w14:textId="124E3133" w:rsidR="18D844C8" w:rsidRPr="005D3494" w:rsidRDefault="5141EA98" w:rsidP="002D2D64">
      <w:pPr>
        <w:spacing w:after="0" w:line="240" w:lineRule="auto"/>
        <w:ind w:firstLine="680"/>
        <w:jc w:val="both"/>
        <w:rPr>
          <w:rFonts w:ascii="Arial" w:eastAsia="Arial" w:hAnsi="Arial" w:cs="Arial"/>
          <w:sz w:val="24"/>
          <w:szCs w:val="24"/>
        </w:rPr>
      </w:pPr>
      <w:r w:rsidRPr="005D3494">
        <w:rPr>
          <w:rFonts w:ascii="Arial" w:eastAsia="Arial" w:hAnsi="Arial" w:cs="Arial"/>
          <w:sz w:val="24"/>
          <w:szCs w:val="24"/>
        </w:rPr>
        <w:t xml:space="preserve"> </w:t>
      </w:r>
    </w:p>
    <w:p w14:paraId="240D1C08" w14:textId="2C6F77E1" w:rsidR="18D844C8" w:rsidRPr="005D3494"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lang w:val="es-CO"/>
        </w:rPr>
        <w:t>Para esta revisión</w:t>
      </w:r>
      <w:r w:rsidR="00720DAE">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xml:space="preserve"> se consideró la inmunodepresión secundaria (déficit del sistema inmunitario debido a causas extrínsecas) en personas que viven con infección por el virus de inmunodeficiencia humana (VIH), </w:t>
      </w:r>
      <w:r w:rsidR="00B719FB">
        <w:rPr>
          <w:rFonts w:ascii="Arial" w:eastAsia="Arial" w:hAnsi="Arial" w:cs="Arial"/>
          <w:color w:val="000000" w:themeColor="text1"/>
          <w:sz w:val="24"/>
          <w:szCs w:val="24"/>
          <w:lang w:val="es-CO"/>
        </w:rPr>
        <w:t xml:space="preserve">con </w:t>
      </w:r>
      <w:r w:rsidRPr="005D3494">
        <w:rPr>
          <w:rFonts w:ascii="Arial" w:eastAsia="Arial" w:hAnsi="Arial" w:cs="Arial"/>
          <w:color w:val="000000" w:themeColor="text1"/>
          <w:sz w:val="24"/>
          <w:szCs w:val="24"/>
          <w:lang w:val="es-CO"/>
        </w:rPr>
        <w:t xml:space="preserve">enfermedad renal crónica, </w:t>
      </w:r>
      <w:r w:rsidR="00B719FB">
        <w:rPr>
          <w:rFonts w:ascii="Arial" w:eastAsia="Arial" w:hAnsi="Arial" w:cs="Arial"/>
          <w:color w:val="000000" w:themeColor="text1"/>
          <w:sz w:val="24"/>
          <w:szCs w:val="24"/>
          <w:lang w:val="es-CO"/>
        </w:rPr>
        <w:t xml:space="preserve">con </w:t>
      </w:r>
      <w:r w:rsidRPr="005D3494">
        <w:rPr>
          <w:rFonts w:ascii="Arial" w:eastAsia="Arial" w:hAnsi="Arial" w:cs="Arial"/>
          <w:color w:val="000000" w:themeColor="text1"/>
          <w:sz w:val="24"/>
          <w:szCs w:val="24"/>
          <w:lang w:val="es-CO"/>
        </w:rPr>
        <w:t xml:space="preserve">diabetes mellitus, receptores de trasplante o uso de fármacos inmunodepresores, </w:t>
      </w:r>
      <w:r w:rsidR="00B719FB">
        <w:rPr>
          <w:rFonts w:ascii="Arial" w:eastAsia="Arial" w:hAnsi="Arial" w:cs="Arial"/>
          <w:color w:val="000000" w:themeColor="text1"/>
          <w:sz w:val="24"/>
          <w:szCs w:val="24"/>
          <w:lang w:val="es-CO"/>
        </w:rPr>
        <w:t>quienes</w:t>
      </w:r>
      <w:r w:rsidRPr="005D3494">
        <w:rPr>
          <w:rFonts w:ascii="Arial" w:eastAsia="Arial" w:hAnsi="Arial" w:cs="Arial"/>
          <w:color w:val="000000" w:themeColor="text1"/>
          <w:sz w:val="24"/>
          <w:szCs w:val="24"/>
          <w:lang w:val="es-CO"/>
        </w:rPr>
        <w:t xml:space="preserve"> forman parte de los grupos vulnerables para los que la Organización Mundial de la Salud (OMS) ha recomendado la detección y tratamiento de la infección tuberculosa latente (ILTB) para prevenir la TB activa (</w:t>
      </w:r>
      <w:r w:rsidRPr="5141EA98">
        <w:rPr>
          <w:rFonts w:ascii="Arial" w:eastAsia="Arial" w:hAnsi="Arial" w:cs="Arial"/>
          <w:color w:val="000000" w:themeColor="text1"/>
          <w:sz w:val="24"/>
          <w:szCs w:val="24"/>
          <w:lang w:val="es-CO"/>
        </w:rPr>
        <w:t>3</w:t>
      </w:r>
      <w:r w:rsidRPr="005D3494">
        <w:rPr>
          <w:rFonts w:ascii="Arial" w:eastAsia="Arial" w:hAnsi="Arial" w:cs="Arial"/>
          <w:color w:val="000000" w:themeColor="text1"/>
          <w:sz w:val="24"/>
          <w:szCs w:val="24"/>
          <w:lang w:val="es-CO"/>
        </w:rPr>
        <w:t>).</w:t>
      </w:r>
    </w:p>
    <w:p w14:paraId="0BCC8055" w14:textId="69BF152D" w:rsidR="18D844C8" w:rsidRPr="005D3494" w:rsidRDefault="18D844C8" w:rsidP="002D2D64">
      <w:pPr>
        <w:spacing w:after="0" w:line="240" w:lineRule="auto"/>
        <w:ind w:firstLine="680"/>
        <w:jc w:val="both"/>
        <w:rPr>
          <w:rFonts w:ascii="Arial" w:eastAsia="Arial" w:hAnsi="Arial" w:cs="Arial"/>
          <w:color w:val="000000" w:themeColor="text1"/>
          <w:sz w:val="24"/>
          <w:szCs w:val="24"/>
          <w:lang w:val="es-CO"/>
        </w:rPr>
      </w:pPr>
    </w:p>
    <w:p w14:paraId="2AAFF44D" w14:textId="26107161" w:rsidR="18D844C8" w:rsidRDefault="00473E5F" w:rsidP="002D2D64">
      <w:pPr>
        <w:spacing w:after="0" w:line="360" w:lineRule="auto"/>
        <w:ind w:firstLine="680"/>
        <w:jc w:val="both"/>
        <w:rPr>
          <w:rFonts w:ascii="Arial" w:eastAsia="Arial" w:hAnsi="Arial" w:cs="Arial"/>
          <w:color w:val="000000" w:themeColor="text1"/>
          <w:sz w:val="24"/>
          <w:szCs w:val="24"/>
        </w:rPr>
      </w:pPr>
      <w:r>
        <w:rPr>
          <w:rFonts w:ascii="Arial" w:eastAsia="Arial" w:hAnsi="Arial" w:cs="Arial"/>
          <w:color w:val="000000" w:themeColor="text1"/>
          <w:sz w:val="24"/>
          <w:szCs w:val="24"/>
        </w:rPr>
        <w:t>La</w:t>
      </w:r>
      <w:r w:rsidR="5141EA98" w:rsidRPr="005D3494">
        <w:rPr>
          <w:rFonts w:ascii="Arial" w:eastAsia="Arial" w:hAnsi="Arial" w:cs="Arial"/>
          <w:color w:val="000000" w:themeColor="text1"/>
          <w:sz w:val="24"/>
          <w:szCs w:val="24"/>
        </w:rPr>
        <w:t xml:space="preserve"> ILTB es un estado de respuesta inmune persistente a la estimulación por antígenos de </w:t>
      </w:r>
      <w:r w:rsidR="5141EA98" w:rsidRPr="005D3494">
        <w:rPr>
          <w:rFonts w:ascii="Arial" w:eastAsia="Arial" w:hAnsi="Arial" w:cs="Arial"/>
          <w:i/>
          <w:iCs/>
          <w:color w:val="000000" w:themeColor="text1"/>
          <w:sz w:val="24"/>
          <w:szCs w:val="24"/>
        </w:rPr>
        <w:t xml:space="preserve">M. tuberculosis </w:t>
      </w:r>
      <w:r w:rsidR="5141EA98" w:rsidRPr="005D3494">
        <w:rPr>
          <w:rFonts w:ascii="Arial" w:eastAsia="Arial" w:hAnsi="Arial" w:cs="Arial"/>
          <w:color w:val="000000" w:themeColor="text1"/>
          <w:sz w:val="24"/>
          <w:szCs w:val="24"/>
        </w:rPr>
        <w:t>sin evidencia de manifestaciones clínicas de TB activa.</w:t>
      </w:r>
      <w:r w:rsidR="00720DAE">
        <w:rPr>
          <w:rFonts w:ascii="Arial" w:eastAsia="Arial" w:hAnsi="Arial" w:cs="Arial"/>
          <w:color w:val="000000" w:themeColor="text1"/>
          <w:sz w:val="24"/>
          <w:szCs w:val="24"/>
        </w:rPr>
        <w:t xml:space="preserve"> </w:t>
      </w:r>
      <w:r w:rsidR="5141EA98" w:rsidRPr="005D3494">
        <w:rPr>
          <w:rFonts w:ascii="Arial" w:eastAsia="Arial" w:hAnsi="Arial" w:cs="Arial"/>
          <w:color w:val="000000" w:themeColor="text1"/>
          <w:sz w:val="24"/>
          <w:szCs w:val="24"/>
        </w:rPr>
        <w:t>Según la OMS la ILTB se diagnostica mediante la prueba cutánea de la tuberculina (TST) y/o el ensayo de liberación de interferón gamma (IGRA).</w:t>
      </w:r>
      <w:r w:rsidR="00F017BD">
        <w:rPr>
          <w:rFonts w:ascii="Arial" w:eastAsia="Arial" w:hAnsi="Arial" w:cs="Arial"/>
          <w:color w:val="000000" w:themeColor="text1"/>
          <w:sz w:val="24"/>
          <w:szCs w:val="24"/>
        </w:rPr>
        <w:t xml:space="preserve"> E</w:t>
      </w:r>
      <w:r w:rsidR="00F017BD" w:rsidRPr="00F017BD">
        <w:rPr>
          <w:rFonts w:ascii="Arial" w:eastAsia="Arial" w:hAnsi="Arial" w:cs="Arial"/>
          <w:color w:val="000000" w:themeColor="text1"/>
          <w:sz w:val="24"/>
          <w:szCs w:val="24"/>
        </w:rPr>
        <w:t>l mayor riesgo de la I</w:t>
      </w:r>
      <w:r w:rsidR="00F017BD">
        <w:rPr>
          <w:rFonts w:ascii="Arial" w:eastAsia="Arial" w:hAnsi="Arial" w:cs="Arial"/>
          <w:color w:val="000000" w:themeColor="text1"/>
          <w:sz w:val="24"/>
          <w:szCs w:val="24"/>
        </w:rPr>
        <w:t>LTB</w:t>
      </w:r>
      <w:r w:rsidR="00F017BD" w:rsidRPr="00F017BD">
        <w:rPr>
          <w:rFonts w:ascii="Arial" w:eastAsia="Arial" w:hAnsi="Arial" w:cs="Arial"/>
          <w:color w:val="000000" w:themeColor="text1"/>
          <w:sz w:val="24"/>
          <w:szCs w:val="24"/>
        </w:rPr>
        <w:t xml:space="preserve"> es que el paciente desarrolle reactivación</w:t>
      </w:r>
      <w:r w:rsidR="5141EA98" w:rsidRPr="005D3494">
        <w:rPr>
          <w:rFonts w:ascii="Arial" w:eastAsia="Arial" w:hAnsi="Arial" w:cs="Arial"/>
          <w:color w:val="000000" w:themeColor="text1"/>
          <w:sz w:val="24"/>
          <w:szCs w:val="24"/>
        </w:rPr>
        <w:t xml:space="preserve"> del </w:t>
      </w:r>
      <w:r w:rsidR="5141EA98" w:rsidRPr="005D3494">
        <w:rPr>
          <w:rFonts w:ascii="Arial" w:eastAsia="Arial" w:hAnsi="Arial" w:cs="Arial"/>
          <w:i/>
          <w:iCs/>
          <w:color w:val="000000" w:themeColor="text1"/>
          <w:sz w:val="24"/>
          <w:szCs w:val="24"/>
        </w:rPr>
        <w:t>M. tuberculosis</w:t>
      </w:r>
      <w:r w:rsidR="5141EA98" w:rsidRPr="005D3494">
        <w:rPr>
          <w:rFonts w:ascii="Arial" w:eastAsia="Arial" w:hAnsi="Arial" w:cs="Arial"/>
          <w:color w:val="000000" w:themeColor="text1"/>
          <w:sz w:val="24"/>
          <w:szCs w:val="24"/>
        </w:rPr>
        <w:t xml:space="preserve"> y </w:t>
      </w:r>
      <w:r w:rsidR="00F017BD" w:rsidRPr="005D3494">
        <w:rPr>
          <w:rFonts w:ascii="Arial" w:eastAsia="Arial" w:hAnsi="Arial" w:cs="Arial"/>
          <w:color w:val="000000" w:themeColor="text1"/>
          <w:sz w:val="24"/>
          <w:szCs w:val="24"/>
        </w:rPr>
        <w:t>progres</w:t>
      </w:r>
      <w:r w:rsidR="00F017BD">
        <w:rPr>
          <w:rFonts w:ascii="Arial" w:eastAsia="Arial" w:hAnsi="Arial" w:cs="Arial"/>
          <w:color w:val="000000" w:themeColor="text1"/>
          <w:sz w:val="24"/>
          <w:szCs w:val="24"/>
        </w:rPr>
        <w:t>e</w:t>
      </w:r>
      <w:r w:rsidR="00F017BD" w:rsidRPr="005D3494">
        <w:rPr>
          <w:rFonts w:ascii="Arial" w:eastAsia="Arial" w:hAnsi="Arial" w:cs="Arial"/>
          <w:color w:val="000000" w:themeColor="text1"/>
          <w:sz w:val="24"/>
          <w:szCs w:val="24"/>
        </w:rPr>
        <w:t xml:space="preserve"> </w:t>
      </w:r>
      <w:r w:rsidR="5141EA98" w:rsidRPr="005D3494">
        <w:rPr>
          <w:rFonts w:ascii="Arial" w:eastAsia="Arial" w:hAnsi="Arial" w:cs="Arial"/>
          <w:color w:val="000000" w:themeColor="text1"/>
          <w:sz w:val="24"/>
          <w:szCs w:val="24"/>
        </w:rPr>
        <w:t>a TB activa</w:t>
      </w:r>
      <w:r w:rsidR="5141EA98" w:rsidRPr="5141EA98">
        <w:rPr>
          <w:rFonts w:ascii="Arial" w:eastAsia="Arial" w:hAnsi="Arial" w:cs="Arial"/>
          <w:color w:val="000000" w:themeColor="text1"/>
          <w:sz w:val="24"/>
          <w:szCs w:val="24"/>
        </w:rPr>
        <w:t xml:space="preserve"> (3)</w:t>
      </w:r>
      <w:r w:rsidR="5141EA98" w:rsidRPr="005D3494">
        <w:rPr>
          <w:rFonts w:ascii="Arial" w:eastAsia="Arial" w:hAnsi="Arial" w:cs="Arial"/>
          <w:color w:val="000000" w:themeColor="text1"/>
          <w:sz w:val="24"/>
          <w:szCs w:val="24"/>
        </w:rPr>
        <w:t>. En las personas inmunocompetentes</w:t>
      </w:r>
      <w:r w:rsidR="00B60238">
        <w:rPr>
          <w:rFonts w:ascii="Arial" w:eastAsia="Arial" w:hAnsi="Arial" w:cs="Arial"/>
          <w:color w:val="000000" w:themeColor="text1"/>
          <w:sz w:val="24"/>
          <w:szCs w:val="24"/>
        </w:rPr>
        <w:t>,</w:t>
      </w:r>
      <w:r w:rsidR="5141EA98" w:rsidRPr="005D3494">
        <w:rPr>
          <w:rFonts w:ascii="Arial" w:eastAsia="Arial" w:hAnsi="Arial" w:cs="Arial"/>
          <w:color w:val="000000" w:themeColor="text1"/>
          <w:sz w:val="24"/>
          <w:szCs w:val="24"/>
        </w:rPr>
        <w:t xml:space="preserve"> ese riesgo es del 5-10% en el transcurso de su vida, en tanto que en las personas que viven con VIH </w:t>
      </w:r>
      <w:r w:rsidR="00494DD6">
        <w:rPr>
          <w:rFonts w:ascii="Arial" w:eastAsia="Arial" w:hAnsi="Arial" w:cs="Arial"/>
          <w:color w:val="000000" w:themeColor="text1"/>
          <w:sz w:val="24"/>
          <w:szCs w:val="24"/>
        </w:rPr>
        <w:t>puede estar entre</w:t>
      </w:r>
      <w:r w:rsidR="5141EA98" w:rsidRPr="005D3494">
        <w:rPr>
          <w:rFonts w:ascii="Arial" w:eastAsia="Arial" w:hAnsi="Arial" w:cs="Arial"/>
          <w:color w:val="000000" w:themeColor="text1"/>
          <w:sz w:val="24"/>
          <w:szCs w:val="24"/>
        </w:rPr>
        <w:t xml:space="preserve"> 10-30% anual</w:t>
      </w:r>
      <w:r w:rsidR="00F017BD">
        <w:rPr>
          <w:rFonts w:ascii="Arial" w:eastAsia="Arial" w:hAnsi="Arial" w:cs="Arial"/>
          <w:color w:val="000000" w:themeColor="text1"/>
          <w:sz w:val="24"/>
          <w:szCs w:val="24"/>
        </w:rPr>
        <w:t xml:space="preserve"> (4)</w:t>
      </w:r>
      <w:r w:rsidR="5141EA98" w:rsidRPr="005D3494">
        <w:rPr>
          <w:rFonts w:ascii="Arial" w:eastAsia="Arial" w:hAnsi="Arial" w:cs="Arial"/>
          <w:color w:val="000000" w:themeColor="text1"/>
          <w:sz w:val="24"/>
          <w:szCs w:val="24"/>
        </w:rPr>
        <w:t xml:space="preserve">. </w:t>
      </w:r>
      <w:r w:rsidR="001835C5">
        <w:rPr>
          <w:rFonts w:ascii="Arial" w:eastAsia="Arial" w:hAnsi="Arial" w:cs="Arial"/>
          <w:color w:val="000000" w:themeColor="text1"/>
          <w:sz w:val="24"/>
          <w:szCs w:val="24"/>
        </w:rPr>
        <w:t>Por otro lado, l</w:t>
      </w:r>
      <w:r w:rsidR="5141EA98" w:rsidRPr="005D3494">
        <w:rPr>
          <w:rFonts w:ascii="Arial" w:eastAsia="Arial" w:hAnsi="Arial" w:cs="Arial"/>
          <w:color w:val="000000" w:themeColor="text1"/>
          <w:sz w:val="24"/>
          <w:szCs w:val="24"/>
        </w:rPr>
        <w:t>os receptores de trasplante de órgano s</w:t>
      </w:r>
      <w:r w:rsidR="00B60238">
        <w:rPr>
          <w:rFonts w:ascii="Arial" w:eastAsia="Arial" w:hAnsi="Arial" w:cs="Arial"/>
          <w:color w:val="000000" w:themeColor="text1"/>
          <w:sz w:val="24"/>
          <w:szCs w:val="24"/>
        </w:rPr>
        <w:t>ó</w:t>
      </w:r>
      <w:r w:rsidR="5141EA98" w:rsidRPr="005D3494">
        <w:rPr>
          <w:rFonts w:ascii="Arial" w:eastAsia="Arial" w:hAnsi="Arial" w:cs="Arial"/>
          <w:color w:val="000000" w:themeColor="text1"/>
          <w:sz w:val="24"/>
          <w:szCs w:val="24"/>
        </w:rPr>
        <w:t xml:space="preserve">lido tienen aproximadamente un 20% </w:t>
      </w:r>
      <w:r w:rsidR="00C45C6B">
        <w:rPr>
          <w:rFonts w:ascii="Arial" w:eastAsia="Arial" w:hAnsi="Arial" w:cs="Arial"/>
          <w:color w:val="000000" w:themeColor="text1"/>
          <w:sz w:val="24"/>
          <w:szCs w:val="24"/>
        </w:rPr>
        <w:t xml:space="preserve">de </w:t>
      </w:r>
      <w:r w:rsidR="5141EA98" w:rsidRPr="005D3494">
        <w:rPr>
          <w:rFonts w:ascii="Arial" w:eastAsia="Arial" w:hAnsi="Arial" w:cs="Arial"/>
          <w:color w:val="000000" w:themeColor="text1"/>
          <w:sz w:val="24"/>
          <w:szCs w:val="24"/>
        </w:rPr>
        <w:t xml:space="preserve">riesgo </w:t>
      </w:r>
      <w:r w:rsidR="00A50E6C">
        <w:rPr>
          <w:rFonts w:ascii="Arial" w:eastAsia="Arial" w:hAnsi="Arial" w:cs="Arial"/>
          <w:color w:val="000000" w:themeColor="text1"/>
          <w:sz w:val="24"/>
          <w:szCs w:val="24"/>
        </w:rPr>
        <w:t xml:space="preserve">de reactivación </w:t>
      </w:r>
      <w:r w:rsidR="5141EA98" w:rsidRPr="005D3494">
        <w:rPr>
          <w:rFonts w:ascii="Arial" w:eastAsia="Arial" w:hAnsi="Arial" w:cs="Arial"/>
          <w:color w:val="000000" w:themeColor="text1"/>
          <w:sz w:val="24"/>
          <w:szCs w:val="24"/>
        </w:rPr>
        <w:t xml:space="preserve">en los primeros seis </w:t>
      </w:r>
      <w:r w:rsidR="5141EA98" w:rsidRPr="5141EA98">
        <w:rPr>
          <w:rFonts w:ascii="Arial" w:eastAsia="Arial" w:hAnsi="Arial" w:cs="Arial"/>
          <w:color w:val="000000" w:themeColor="text1"/>
          <w:sz w:val="24"/>
          <w:szCs w:val="24"/>
        </w:rPr>
        <w:t>meses postrasplante</w:t>
      </w:r>
      <w:r w:rsidR="004F6FED">
        <w:rPr>
          <w:rFonts w:ascii="Arial" w:eastAsia="Arial" w:hAnsi="Arial" w:cs="Arial"/>
          <w:color w:val="000000" w:themeColor="text1"/>
          <w:sz w:val="24"/>
          <w:szCs w:val="24"/>
        </w:rPr>
        <w:t>s</w:t>
      </w:r>
      <w:r w:rsidR="5141EA98" w:rsidRPr="005D3494">
        <w:rPr>
          <w:rFonts w:ascii="Arial" w:eastAsia="Arial" w:hAnsi="Arial" w:cs="Arial"/>
          <w:color w:val="000000" w:themeColor="text1"/>
          <w:sz w:val="24"/>
          <w:szCs w:val="24"/>
        </w:rPr>
        <w:t xml:space="preserve"> y </w:t>
      </w:r>
      <w:r w:rsidR="00F57487">
        <w:rPr>
          <w:rFonts w:ascii="Arial" w:eastAsia="Arial" w:hAnsi="Arial" w:cs="Arial"/>
          <w:color w:val="000000" w:themeColor="text1"/>
          <w:sz w:val="24"/>
          <w:szCs w:val="24"/>
        </w:rPr>
        <w:t>quienes</w:t>
      </w:r>
      <w:r w:rsidR="5141EA98" w:rsidRPr="005D3494">
        <w:rPr>
          <w:rFonts w:ascii="Arial" w:eastAsia="Arial" w:hAnsi="Arial" w:cs="Arial"/>
          <w:color w:val="000000" w:themeColor="text1"/>
          <w:sz w:val="24"/>
          <w:szCs w:val="24"/>
        </w:rPr>
        <w:t xml:space="preserve"> viven con enfermedad renal crónica en diálisis el 30% anual</w:t>
      </w:r>
      <w:r w:rsidR="5141EA98" w:rsidRPr="5141EA98">
        <w:rPr>
          <w:rFonts w:ascii="Arial" w:eastAsia="Arial" w:hAnsi="Arial" w:cs="Arial"/>
          <w:color w:val="000000" w:themeColor="text1"/>
          <w:sz w:val="24"/>
          <w:szCs w:val="24"/>
        </w:rPr>
        <w:t xml:space="preserve"> (4)</w:t>
      </w:r>
      <w:r w:rsidR="5141EA98" w:rsidRPr="005D3494">
        <w:rPr>
          <w:rFonts w:ascii="Arial" w:eastAsia="Arial" w:hAnsi="Arial" w:cs="Arial"/>
          <w:color w:val="000000" w:themeColor="text1"/>
          <w:sz w:val="24"/>
          <w:szCs w:val="24"/>
        </w:rPr>
        <w:t xml:space="preserve">. Debido a esto, se </w:t>
      </w:r>
      <w:r w:rsidR="001835C5">
        <w:rPr>
          <w:rFonts w:ascii="Arial" w:eastAsia="Arial" w:hAnsi="Arial" w:cs="Arial"/>
          <w:color w:val="000000" w:themeColor="text1"/>
          <w:sz w:val="24"/>
          <w:szCs w:val="24"/>
        </w:rPr>
        <w:t>recomienda</w:t>
      </w:r>
      <w:r w:rsidR="001835C5" w:rsidRPr="005D3494">
        <w:rPr>
          <w:rFonts w:ascii="Arial" w:eastAsia="Arial" w:hAnsi="Arial" w:cs="Arial"/>
          <w:color w:val="000000" w:themeColor="text1"/>
          <w:sz w:val="24"/>
          <w:szCs w:val="24"/>
        </w:rPr>
        <w:t xml:space="preserve"> </w:t>
      </w:r>
      <w:r w:rsidR="5141EA98" w:rsidRPr="005D3494">
        <w:rPr>
          <w:rFonts w:ascii="Arial" w:eastAsia="Arial" w:hAnsi="Arial" w:cs="Arial"/>
          <w:color w:val="000000" w:themeColor="text1"/>
          <w:sz w:val="24"/>
          <w:szCs w:val="24"/>
        </w:rPr>
        <w:t xml:space="preserve">el tratamiento preventivo con regímenes de isoniazida, rifampicina, rifapentina o sus </w:t>
      </w:r>
      <w:r w:rsidR="5141EA98" w:rsidRPr="005D3494">
        <w:rPr>
          <w:rFonts w:ascii="Arial" w:eastAsia="Arial" w:hAnsi="Arial" w:cs="Arial"/>
          <w:color w:val="000000" w:themeColor="text1"/>
          <w:sz w:val="24"/>
          <w:szCs w:val="24"/>
        </w:rPr>
        <w:lastRenderedPageBreak/>
        <w:t>combinaciones</w:t>
      </w:r>
      <w:r w:rsidR="00C45C6B">
        <w:rPr>
          <w:rFonts w:ascii="Arial" w:eastAsia="Arial" w:hAnsi="Arial" w:cs="Arial"/>
          <w:color w:val="000000" w:themeColor="text1"/>
          <w:sz w:val="24"/>
          <w:szCs w:val="24"/>
        </w:rPr>
        <w:t xml:space="preserve">. El régimen más </w:t>
      </w:r>
      <w:r w:rsidR="00980398">
        <w:rPr>
          <w:rFonts w:ascii="Arial" w:eastAsia="Arial" w:hAnsi="Arial" w:cs="Arial"/>
          <w:color w:val="000000" w:themeColor="text1"/>
          <w:sz w:val="24"/>
          <w:szCs w:val="24"/>
        </w:rPr>
        <w:t xml:space="preserve">usado </w:t>
      </w:r>
      <w:r w:rsidR="00C45C6B">
        <w:rPr>
          <w:rFonts w:ascii="Arial" w:eastAsia="Arial" w:hAnsi="Arial" w:cs="Arial"/>
          <w:color w:val="000000" w:themeColor="text1"/>
          <w:sz w:val="24"/>
          <w:szCs w:val="24"/>
        </w:rPr>
        <w:t>actualmente es la monoterapia con isoniazida 900 mg, vía oral, diariamente por 9 meses</w:t>
      </w:r>
      <w:r w:rsidR="009A59E8">
        <w:rPr>
          <w:rFonts w:ascii="Arial" w:eastAsia="Arial" w:hAnsi="Arial" w:cs="Arial"/>
          <w:color w:val="000000" w:themeColor="text1"/>
          <w:sz w:val="24"/>
          <w:szCs w:val="24"/>
        </w:rPr>
        <w:t xml:space="preserve"> </w:t>
      </w:r>
      <w:r w:rsidR="00C45C6B">
        <w:rPr>
          <w:rFonts w:ascii="Arial" w:eastAsia="Arial" w:hAnsi="Arial" w:cs="Arial"/>
          <w:color w:val="000000" w:themeColor="text1"/>
          <w:sz w:val="24"/>
          <w:szCs w:val="24"/>
        </w:rPr>
        <w:t>(3)</w:t>
      </w:r>
      <w:r w:rsidR="5141EA98" w:rsidRPr="005D3494">
        <w:rPr>
          <w:rFonts w:ascii="Arial" w:eastAsia="Arial" w:hAnsi="Arial" w:cs="Arial"/>
          <w:color w:val="000000" w:themeColor="text1"/>
          <w:sz w:val="24"/>
          <w:szCs w:val="24"/>
        </w:rPr>
        <w:t xml:space="preserve">. </w:t>
      </w:r>
    </w:p>
    <w:p w14:paraId="0328C538" w14:textId="77777777" w:rsidR="00980398" w:rsidRPr="005D3494" w:rsidRDefault="00980398" w:rsidP="002D2D64">
      <w:pPr>
        <w:spacing w:after="0" w:line="240" w:lineRule="auto"/>
        <w:ind w:firstLine="680"/>
        <w:jc w:val="both"/>
        <w:rPr>
          <w:rFonts w:ascii="Arial" w:eastAsia="Arial" w:hAnsi="Arial" w:cs="Arial"/>
          <w:color w:val="000000" w:themeColor="text1"/>
          <w:sz w:val="24"/>
          <w:szCs w:val="24"/>
        </w:rPr>
      </w:pPr>
    </w:p>
    <w:p w14:paraId="63F7CD73" w14:textId="7985BBA0" w:rsidR="18D844C8" w:rsidRPr="005D3494" w:rsidRDefault="5141EA98" w:rsidP="002D2D64">
      <w:pPr>
        <w:spacing w:after="0" w:line="360" w:lineRule="auto"/>
        <w:ind w:firstLine="680"/>
        <w:jc w:val="both"/>
        <w:rPr>
          <w:rFonts w:ascii="Arial" w:eastAsia="Arial" w:hAnsi="Arial" w:cs="Arial"/>
          <w:sz w:val="24"/>
          <w:szCs w:val="24"/>
        </w:rPr>
      </w:pPr>
      <w:r w:rsidRPr="005D3494">
        <w:rPr>
          <w:rFonts w:ascii="Arial" w:eastAsia="Arial" w:hAnsi="Arial" w:cs="Arial"/>
          <w:color w:val="000000" w:themeColor="text1"/>
          <w:sz w:val="24"/>
          <w:szCs w:val="24"/>
        </w:rPr>
        <w:t>Recientemente</w:t>
      </w:r>
      <w:r w:rsidR="00B60238">
        <w:rPr>
          <w:rFonts w:ascii="Arial" w:eastAsia="Arial" w:hAnsi="Arial" w:cs="Arial"/>
          <w:color w:val="000000" w:themeColor="text1"/>
          <w:sz w:val="24"/>
          <w:szCs w:val="24"/>
        </w:rPr>
        <w:t>,</w:t>
      </w:r>
      <w:r w:rsidRPr="005D3494">
        <w:rPr>
          <w:rFonts w:ascii="Arial" w:eastAsia="Arial" w:hAnsi="Arial" w:cs="Arial"/>
          <w:color w:val="000000" w:themeColor="text1"/>
          <w:sz w:val="24"/>
          <w:szCs w:val="24"/>
        </w:rPr>
        <w:t xml:space="preserve"> la OMS ha aprobado el tratamiento combinado de rifapentina (dosis máxima 900 mg) con isoniazida (dosis máxima 900 mg), por vía oral cada semana durante 3 meses (12 dosis), también conocido como régimen de 3HP (</w:t>
      </w:r>
      <w:r w:rsidRPr="5141EA98">
        <w:rPr>
          <w:rFonts w:ascii="Arial" w:eastAsia="Arial" w:hAnsi="Arial" w:cs="Arial"/>
          <w:color w:val="000000" w:themeColor="text1"/>
          <w:sz w:val="24"/>
          <w:szCs w:val="24"/>
        </w:rPr>
        <w:t>3</w:t>
      </w:r>
      <w:r w:rsidRPr="005D3494">
        <w:rPr>
          <w:rFonts w:ascii="Arial" w:eastAsia="Arial" w:hAnsi="Arial" w:cs="Arial"/>
          <w:color w:val="000000" w:themeColor="text1"/>
          <w:sz w:val="24"/>
          <w:szCs w:val="24"/>
        </w:rPr>
        <w:t xml:space="preserve">). Las </w:t>
      </w:r>
      <w:r w:rsidR="00473E5F">
        <w:rPr>
          <w:rFonts w:ascii="Arial" w:eastAsia="Arial" w:hAnsi="Arial" w:cs="Arial"/>
          <w:color w:val="000000" w:themeColor="text1"/>
          <w:sz w:val="24"/>
          <w:szCs w:val="24"/>
        </w:rPr>
        <w:t xml:space="preserve">posibles </w:t>
      </w:r>
      <w:r w:rsidRPr="005D3494">
        <w:rPr>
          <w:rFonts w:ascii="Arial" w:eastAsia="Arial" w:hAnsi="Arial" w:cs="Arial"/>
          <w:color w:val="000000" w:themeColor="text1"/>
          <w:sz w:val="24"/>
          <w:szCs w:val="24"/>
        </w:rPr>
        <w:t xml:space="preserve">ventajas del régimen 3HP sobre la monoterapia con isoniazida </w:t>
      </w:r>
      <w:r w:rsidR="00996D12">
        <w:rPr>
          <w:rFonts w:ascii="Arial" w:eastAsia="Arial" w:hAnsi="Arial" w:cs="Arial"/>
          <w:color w:val="000000" w:themeColor="text1"/>
          <w:sz w:val="24"/>
          <w:szCs w:val="24"/>
        </w:rPr>
        <w:t>podrían ser</w:t>
      </w:r>
      <w:r w:rsidR="00B60238">
        <w:rPr>
          <w:rFonts w:ascii="Arial" w:eastAsia="Arial" w:hAnsi="Arial" w:cs="Arial"/>
          <w:color w:val="000000" w:themeColor="text1"/>
          <w:sz w:val="24"/>
          <w:szCs w:val="24"/>
        </w:rPr>
        <w:t xml:space="preserve"> la</w:t>
      </w:r>
      <w:r w:rsidRPr="005D3494">
        <w:rPr>
          <w:rFonts w:ascii="Arial" w:eastAsia="Arial" w:hAnsi="Arial" w:cs="Arial"/>
          <w:color w:val="000000" w:themeColor="text1"/>
          <w:sz w:val="24"/>
          <w:szCs w:val="24"/>
        </w:rPr>
        <w:t xml:space="preserve"> </w:t>
      </w:r>
      <w:r w:rsidRPr="00473E5F">
        <w:rPr>
          <w:rFonts w:ascii="Arial" w:eastAsia="Arial" w:hAnsi="Arial" w:cs="Arial"/>
          <w:color w:val="000000" w:themeColor="text1"/>
          <w:sz w:val="24"/>
          <w:szCs w:val="24"/>
        </w:rPr>
        <w:t>eficacia equivalente a la monoterapia con isoniazida por 6 o 9 mese</w:t>
      </w:r>
      <w:r w:rsidRPr="005D3494">
        <w:rPr>
          <w:rFonts w:ascii="Arial" w:eastAsia="Arial" w:hAnsi="Arial" w:cs="Arial"/>
          <w:color w:val="000000" w:themeColor="text1"/>
          <w:sz w:val="24"/>
          <w:szCs w:val="24"/>
        </w:rPr>
        <w:t>s, menos eventos adversos, menor incidencia de farmacorresistencia debido al aumento de las tasas de finalización por duración más corta, menos costo económico y</w:t>
      </w:r>
      <w:r w:rsidR="00B60238">
        <w:rPr>
          <w:rFonts w:ascii="Arial" w:eastAsia="Arial" w:hAnsi="Arial" w:cs="Arial"/>
          <w:color w:val="000000" w:themeColor="text1"/>
          <w:sz w:val="24"/>
          <w:szCs w:val="24"/>
        </w:rPr>
        <w:t>, por último,</w:t>
      </w:r>
      <w:r w:rsidRPr="005D3494">
        <w:rPr>
          <w:rFonts w:ascii="Arial" w:eastAsia="Arial" w:hAnsi="Arial" w:cs="Arial"/>
          <w:color w:val="000000" w:themeColor="text1"/>
          <w:sz w:val="24"/>
          <w:szCs w:val="24"/>
        </w:rPr>
        <w:t xml:space="preserve"> menos muertes asociadas a TB (</w:t>
      </w:r>
      <w:r w:rsidRPr="005D3494">
        <w:rPr>
          <w:rFonts w:ascii="Arial" w:eastAsia="Arial" w:hAnsi="Arial" w:cs="Arial"/>
          <w:sz w:val="24"/>
          <w:szCs w:val="24"/>
        </w:rPr>
        <w:t>5).</w:t>
      </w:r>
    </w:p>
    <w:p w14:paraId="1EDCA3B4" w14:textId="4814EB33" w:rsidR="18D844C8" w:rsidRPr="005D3494" w:rsidRDefault="5141EA98" w:rsidP="002D2D64">
      <w:pPr>
        <w:spacing w:after="0" w:line="24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rPr>
        <w:t xml:space="preserve"> </w:t>
      </w:r>
    </w:p>
    <w:p w14:paraId="2BC8EF10" w14:textId="235FDB46" w:rsidR="18D844C8" w:rsidRPr="005D3494" w:rsidRDefault="00F87F51" w:rsidP="002D2D64">
      <w:pPr>
        <w:spacing w:after="0" w:line="360" w:lineRule="auto"/>
        <w:ind w:firstLine="680"/>
        <w:jc w:val="both"/>
        <w:rPr>
          <w:rFonts w:ascii="Arial" w:eastAsia="Arial" w:hAnsi="Arial" w:cs="Arial"/>
          <w:color w:val="000000" w:themeColor="text1"/>
          <w:sz w:val="24"/>
          <w:szCs w:val="24"/>
        </w:rPr>
      </w:pPr>
      <w:r>
        <w:rPr>
          <w:rFonts w:ascii="Arial" w:eastAsia="Arial" w:hAnsi="Arial" w:cs="Arial"/>
          <w:color w:val="000000" w:themeColor="text1"/>
          <w:sz w:val="24"/>
          <w:szCs w:val="24"/>
        </w:rPr>
        <w:t>L</w:t>
      </w:r>
      <w:r w:rsidR="00980398">
        <w:rPr>
          <w:rFonts w:ascii="Arial" w:eastAsia="Arial" w:hAnsi="Arial" w:cs="Arial"/>
          <w:color w:val="000000" w:themeColor="text1"/>
          <w:sz w:val="24"/>
          <w:szCs w:val="24"/>
        </w:rPr>
        <w:t xml:space="preserve">a guía de práctica clínica </w:t>
      </w:r>
      <w:r>
        <w:rPr>
          <w:rFonts w:ascii="Arial" w:eastAsia="Arial" w:hAnsi="Arial" w:cs="Arial"/>
          <w:color w:val="000000" w:themeColor="text1"/>
          <w:sz w:val="24"/>
          <w:szCs w:val="24"/>
        </w:rPr>
        <w:t>de manejo de la TB latente de la</w:t>
      </w:r>
      <w:r w:rsidR="5141EA98" w:rsidRPr="005D3494">
        <w:rPr>
          <w:rFonts w:ascii="Arial" w:eastAsia="Arial" w:hAnsi="Arial" w:cs="Arial"/>
          <w:color w:val="000000" w:themeColor="text1"/>
          <w:sz w:val="24"/>
          <w:szCs w:val="24"/>
        </w:rPr>
        <w:t xml:space="preserve"> OMS </w:t>
      </w:r>
      <w:r w:rsidR="00980398">
        <w:rPr>
          <w:rFonts w:ascii="Arial" w:eastAsia="Arial" w:hAnsi="Arial" w:cs="Arial"/>
          <w:color w:val="000000" w:themeColor="text1"/>
          <w:sz w:val="24"/>
          <w:szCs w:val="24"/>
        </w:rPr>
        <w:t xml:space="preserve">(2018) </w:t>
      </w:r>
      <w:r w:rsidR="00980398" w:rsidRPr="005D3494">
        <w:rPr>
          <w:rFonts w:ascii="Arial" w:eastAsia="Arial" w:hAnsi="Arial" w:cs="Arial"/>
          <w:color w:val="000000" w:themeColor="text1"/>
          <w:sz w:val="24"/>
          <w:szCs w:val="24"/>
        </w:rPr>
        <w:t>recom</w:t>
      </w:r>
      <w:r w:rsidR="00980398">
        <w:rPr>
          <w:rFonts w:ascii="Arial" w:eastAsia="Arial" w:hAnsi="Arial" w:cs="Arial"/>
          <w:color w:val="000000" w:themeColor="text1"/>
          <w:sz w:val="24"/>
          <w:szCs w:val="24"/>
        </w:rPr>
        <w:t>ienda</w:t>
      </w:r>
      <w:r w:rsidR="5141EA98" w:rsidRPr="005D3494">
        <w:rPr>
          <w:rFonts w:ascii="Arial" w:eastAsia="Arial" w:hAnsi="Arial" w:cs="Arial"/>
          <w:color w:val="000000" w:themeColor="text1"/>
          <w:sz w:val="24"/>
          <w:szCs w:val="24"/>
        </w:rPr>
        <w:t xml:space="preserve"> el régimen 3HP para prevenir la TB activa en grupos vulnerables, principalmente aquellos con inmunodepresión secundaria</w:t>
      </w:r>
      <w:r w:rsidR="0096232E">
        <w:rPr>
          <w:rFonts w:ascii="Arial" w:eastAsia="Arial" w:hAnsi="Arial" w:cs="Arial"/>
          <w:color w:val="000000" w:themeColor="text1"/>
          <w:sz w:val="24"/>
          <w:szCs w:val="24"/>
        </w:rPr>
        <w:t xml:space="preserve"> (</w:t>
      </w:r>
      <w:r w:rsidR="001A1231">
        <w:rPr>
          <w:rFonts w:ascii="Arial" w:eastAsia="Arial" w:hAnsi="Arial" w:cs="Arial"/>
          <w:color w:val="000000" w:themeColor="text1"/>
          <w:sz w:val="24"/>
          <w:szCs w:val="24"/>
        </w:rPr>
        <w:t>3</w:t>
      </w:r>
      <w:r w:rsidR="0096232E">
        <w:rPr>
          <w:rFonts w:ascii="Arial" w:eastAsia="Arial" w:hAnsi="Arial" w:cs="Arial"/>
          <w:color w:val="000000" w:themeColor="text1"/>
          <w:sz w:val="24"/>
          <w:szCs w:val="24"/>
        </w:rPr>
        <w:t xml:space="preserve">). Sin embargo, esta </w:t>
      </w:r>
      <w:r w:rsidR="00980398">
        <w:rPr>
          <w:rFonts w:ascii="Arial" w:eastAsia="Arial" w:hAnsi="Arial" w:cs="Arial"/>
          <w:color w:val="000000" w:themeColor="text1"/>
          <w:sz w:val="24"/>
          <w:szCs w:val="24"/>
        </w:rPr>
        <w:t>recomendación</w:t>
      </w:r>
      <w:r w:rsidR="0096232E">
        <w:rPr>
          <w:rFonts w:ascii="Arial" w:eastAsia="Arial" w:hAnsi="Arial" w:cs="Arial"/>
          <w:color w:val="000000" w:themeColor="text1"/>
          <w:sz w:val="24"/>
          <w:szCs w:val="24"/>
        </w:rPr>
        <w:t xml:space="preserve"> está basada en consenso</w:t>
      </w:r>
      <w:r w:rsidR="00B60238">
        <w:rPr>
          <w:rFonts w:ascii="Arial" w:eastAsia="Arial" w:hAnsi="Arial" w:cs="Arial"/>
          <w:color w:val="000000" w:themeColor="text1"/>
          <w:sz w:val="24"/>
          <w:szCs w:val="24"/>
        </w:rPr>
        <w:t>s</w:t>
      </w:r>
      <w:r w:rsidR="0096232E">
        <w:rPr>
          <w:rFonts w:ascii="Arial" w:eastAsia="Arial" w:hAnsi="Arial" w:cs="Arial"/>
          <w:color w:val="000000" w:themeColor="text1"/>
          <w:sz w:val="24"/>
          <w:szCs w:val="24"/>
        </w:rPr>
        <w:t xml:space="preserve"> de expertos </w:t>
      </w:r>
      <w:r w:rsidR="001A1231">
        <w:rPr>
          <w:rFonts w:ascii="Arial" w:eastAsia="Arial" w:hAnsi="Arial" w:cs="Arial"/>
          <w:color w:val="000000" w:themeColor="text1"/>
          <w:sz w:val="24"/>
          <w:szCs w:val="24"/>
        </w:rPr>
        <w:t>y</w:t>
      </w:r>
      <w:r w:rsidR="0096232E">
        <w:rPr>
          <w:rFonts w:ascii="Arial" w:eastAsia="Arial" w:hAnsi="Arial" w:cs="Arial"/>
          <w:color w:val="000000" w:themeColor="text1"/>
          <w:sz w:val="24"/>
          <w:szCs w:val="24"/>
        </w:rPr>
        <w:t xml:space="preserve"> se sustenta en que los </w:t>
      </w:r>
      <w:r w:rsidR="5141EA98" w:rsidRPr="005D3494">
        <w:rPr>
          <w:rFonts w:ascii="Arial" w:eastAsia="Arial" w:hAnsi="Arial" w:cs="Arial"/>
          <w:color w:val="000000" w:themeColor="text1"/>
          <w:sz w:val="24"/>
          <w:szCs w:val="24"/>
        </w:rPr>
        <w:t>grupos vulnerables</w:t>
      </w:r>
      <w:r w:rsidR="0096232E">
        <w:rPr>
          <w:rFonts w:ascii="Arial" w:eastAsia="Arial" w:hAnsi="Arial" w:cs="Arial"/>
          <w:color w:val="000000" w:themeColor="text1"/>
          <w:sz w:val="24"/>
          <w:szCs w:val="24"/>
        </w:rPr>
        <w:t xml:space="preserve"> </w:t>
      </w:r>
      <w:r w:rsidR="5141EA98" w:rsidRPr="005D3494">
        <w:rPr>
          <w:rFonts w:ascii="Arial" w:eastAsia="Arial" w:hAnsi="Arial" w:cs="Arial"/>
          <w:color w:val="000000" w:themeColor="text1"/>
          <w:sz w:val="24"/>
          <w:szCs w:val="24"/>
        </w:rPr>
        <w:t xml:space="preserve">presentan un mayor riesgo de progresión a TB activa y </w:t>
      </w:r>
      <w:r w:rsidR="00B60238">
        <w:rPr>
          <w:rFonts w:ascii="Arial" w:eastAsia="Arial" w:hAnsi="Arial" w:cs="Arial"/>
          <w:color w:val="000000" w:themeColor="text1"/>
          <w:sz w:val="24"/>
          <w:szCs w:val="24"/>
        </w:rPr>
        <w:t xml:space="preserve">a </w:t>
      </w:r>
      <w:r w:rsidR="5141EA98" w:rsidRPr="005D3494">
        <w:rPr>
          <w:rFonts w:ascii="Arial" w:eastAsia="Arial" w:hAnsi="Arial" w:cs="Arial"/>
          <w:color w:val="000000" w:themeColor="text1"/>
          <w:sz w:val="24"/>
          <w:szCs w:val="24"/>
        </w:rPr>
        <w:t xml:space="preserve">que los beneficios del tratamiento </w:t>
      </w:r>
      <w:r w:rsidR="001A1231">
        <w:rPr>
          <w:rFonts w:ascii="Arial" w:eastAsia="Arial" w:hAnsi="Arial" w:cs="Arial"/>
          <w:color w:val="000000" w:themeColor="text1"/>
          <w:sz w:val="24"/>
          <w:szCs w:val="24"/>
        </w:rPr>
        <w:t xml:space="preserve">son </w:t>
      </w:r>
      <w:r w:rsidR="5141EA98" w:rsidRPr="005D3494">
        <w:rPr>
          <w:rFonts w:ascii="Arial" w:eastAsia="Arial" w:hAnsi="Arial" w:cs="Arial"/>
          <w:color w:val="000000" w:themeColor="text1"/>
          <w:sz w:val="24"/>
          <w:szCs w:val="24"/>
        </w:rPr>
        <w:t>mayores que los posibles perjuicios</w:t>
      </w:r>
      <w:r w:rsidR="00980398">
        <w:rPr>
          <w:rFonts w:ascii="Arial" w:eastAsia="Arial" w:hAnsi="Arial" w:cs="Arial"/>
          <w:color w:val="000000" w:themeColor="text1"/>
          <w:sz w:val="24"/>
          <w:szCs w:val="24"/>
        </w:rPr>
        <w:t>, a pesar</w:t>
      </w:r>
      <w:r w:rsidR="0096232E">
        <w:rPr>
          <w:rFonts w:ascii="Arial" w:eastAsia="Arial" w:hAnsi="Arial" w:cs="Arial"/>
          <w:color w:val="000000" w:themeColor="text1"/>
          <w:sz w:val="24"/>
          <w:szCs w:val="24"/>
        </w:rPr>
        <w:t xml:space="preserve"> de la escasa evidencia disponible</w:t>
      </w:r>
      <w:r w:rsidR="5141EA98" w:rsidRPr="005D3494">
        <w:rPr>
          <w:rFonts w:ascii="Arial" w:eastAsia="Arial" w:hAnsi="Arial" w:cs="Arial"/>
          <w:color w:val="000000" w:themeColor="text1"/>
          <w:sz w:val="24"/>
          <w:szCs w:val="24"/>
        </w:rPr>
        <w:t xml:space="preserve"> (</w:t>
      </w:r>
      <w:r w:rsidR="5141EA98" w:rsidRPr="5141EA98">
        <w:rPr>
          <w:rFonts w:ascii="Arial" w:eastAsia="Arial" w:hAnsi="Arial" w:cs="Arial"/>
          <w:color w:val="000000" w:themeColor="text1"/>
          <w:sz w:val="24"/>
          <w:szCs w:val="24"/>
        </w:rPr>
        <w:t>3</w:t>
      </w:r>
      <w:r w:rsidR="5141EA98" w:rsidRPr="005D3494">
        <w:rPr>
          <w:rFonts w:ascii="Arial" w:eastAsia="Arial" w:hAnsi="Arial" w:cs="Arial"/>
          <w:color w:val="000000" w:themeColor="text1"/>
          <w:sz w:val="24"/>
          <w:szCs w:val="24"/>
        </w:rPr>
        <w:t xml:space="preserve">). </w:t>
      </w:r>
    </w:p>
    <w:p w14:paraId="4F22C0E8" w14:textId="0C867001" w:rsidR="18D844C8" w:rsidRPr="005D3494" w:rsidRDefault="5141EA98" w:rsidP="002D2D64">
      <w:pPr>
        <w:spacing w:after="0" w:line="240" w:lineRule="auto"/>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rPr>
        <w:t xml:space="preserve"> </w:t>
      </w:r>
    </w:p>
    <w:p w14:paraId="1D17C922" w14:textId="1C7706ED" w:rsidR="18D844C8" w:rsidRPr="005D3494" w:rsidRDefault="00F67DF9" w:rsidP="002D2D64">
      <w:pPr>
        <w:spacing w:after="0" w:line="360" w:lineRule="auto"/>
        <w:ind w:firstLine="680"/>
        <w:jc w:val="both"/>
        <w:rPr>
          <w:rFonts w:ascii="Arial" w:eastAsia="Arial" w:hAnsi="Arial" w:cs="Arial"/>
          <w:sz w:val="24"/>
          <w:szCs w:val="24"/>
        </w:rPr>
      </w:pPr>
      <w:r>
        <w:rPr>
          <w:rFonts w:ascii="Arial" w:eastAsia="Arial" w:hAnsi="Arial" w:cs="Arial"/>
          <w:color w:val="000000" w:themeColor="text1"/>
          <w:sz w:val="24"/>
          <w:szCs w:val="24"/>
        </w:rPr>
        <w:t>A</w:t>
      </w:r>
      <w:r w:rsidR="001A1231">
        <w:rPr>
          <w:rFonts w:ascii="Arial" w:eastAsia="Arial" w:hAnsi="Arial" w:cs="Arial"/>
          <w:color w:val="000000" w:themeColor="text1"/>
          <w:sz w:val="24"/>
          <w:szCs w:val="24"/>
        </w:rPr>
        <w:t xml:space="preserve">unque </w:t>
      </w:r>
      <w:r>
        <w:rPr>
          <w:rFonts w:ascii="Arial" w:eastAsia="Arial" w:hAnsi="Arial" w:cs="Arial"/>
          <w:color w:val="000000" w:themeColor="text1"/>
          <w:sz w:val="24"/>
          <w:szCs w:val="24"/>
        </w:rPr>
        <w:t>hay alguna evidencia disponible de la efectividad de 3HP en pacientes con inmunosupresión, este tipo de es</w:t>
      </w:r>
      <w:r w:rsidR="002123BD">
        <w:rPr>
          <w:rFonts w:ascii="Arial" w:eastAsia="Arial" w:hAnsi="Arial" w:cs="Arial"/>
          <w:color w:val="000000" w:themeColor="text1"/>
          <w:sz w:val="24"/>
          <w:szCs w:val="24"/>
        </w:rPr>
        <w:t>tudios suele ser excluido de las revision</w:t>
      </w:r>
      <w:r w:rsidR="00A10CB7">
        <w:rPr>
          <w:rFonts w:ascii="Arial" w:eastAsia="Arial" w:hAnsi="Arial" w:cs="Arial"/>
          <w:color w:val="000000" w:themeColor="text1"/>
          <w:sz w:val="24"/>
          <w:szCs w:val="24"/>
        </w:rPr>
        <w:t>e</w:t>
      </w:r>
      <w:r w:rsidR="002123BD">
        <w:rPr>
          <w:rFonts w:ascii="Arial" w:eastAsia="Arial" w:hAnsi="Arial" w:cs="Arial"/>
          <w:color w:val="000000" w:themeColor="text1"/>
          <w:sz w:val="24"/>
          <w:szCs w:val="24"/>
        </w:rPr>
        <w:t>s si</w:t>
      </w:r>
      <w:r w:rsidR="00A10CB7">
        <w:rPr>
          <w:rFonts w:ascii="Arial" w:eastAsia="Arial" w:hAnsi="Arial" w:cs="Arial"/>
          <w:color w:val="000000" w:themeColor="text1"/>
          <w:sz w:val="24"/>
          <w:szCs w:val="24"/>
        </w:rPr>
        <w:t>s</w:t>
      </w:r>
      <w:r w:rsidR="002123BD">
        <w:rPr>
          <w:rFonts w:ascii="Arial" w:eastAsia="Arial" w:hAnsi="Arial" w:cs="Arial"/>
          <w:color w:val="000000" w:themeColor="text1"/>
          <w:sz w:val="24"/>
          <w:szCs w:val="24"/>
        </w:rPr>
        <w:t xml:space="preserve">temáticas existentes sobre </w:t>
      </w:r>
      <w:r w:rsidR="5141EA98" w:rsidRPr="005D3494">
        <w:rPr>
          <w:rFonts w:ascii="Arial" w:eastAsia="Arial" w:hAnsi="Arial" w:cs="Arial"/>
          <w:color w:val="000000" w:themeColor="text1"/>
          <w:sz w:val="24"/>
          <w:szCs w:val="24"/>
        </w:rPr>
        <w:t>la eficacia del régimen 3HP</w:t>
      </w:r>
      <w:r w:rsidR="002123BD">
        <w:rPr>
          <w:rFonts w:ascii="Arial" w:eastAsia="Arial" w:hAnsi="Arial" w:cs="Arial"/>
          <w:color w:val="000000" w:themeColor="text1"/>
          <w:sz w:val="24"/>
          <w:szCs w:val="24"/>
        </w:rPr>
        <w:t>. Adicionalmente,</w:t>
      </w:r>
      <w:r w:rsidR="00720DAE">
        <w:rPr>
          <w:rFonts w:ascii="Arial" w:eastAsia="Arial" w:hAnsi="Arial" w:cs="Arial"/>
          <w:color w:val="000000" w:themeColor="text1"/>
          <w:sz w:val="24"/>
          <w:szCs w:val="24"/>
        </w:rPr>
        <w:t xml:space="preserve"> </w:t>
      </w:r>
      <w:r w:rsidR="5141EA98" w:rsidRPr="005D3494">
        <w:rPr>
          <w:rFonts w:ascii="Arial" w:eastAsia="Arial" w:hAnsi="Arial" w:cs="Arial"/>
          <w:color w:val="000000" w:themeColor="text1"/>
          <w:sz w:val="24"/>
          <w:szCs w:val="24"/>
        </w:rPr>
        <w:t xml:space="preserve">las pocas que incluyen a personas que viven con VIH no han realizado el análisis de covariables como uso de tratamiento antirretroviral y niveles de linfocitos T CD4, las cuales pueden ser </w:t>
      </w:r>
      <w:r w:rsidR="00A10CB7">
        <w:rPr>
          <w:rFonts w:ascii="Arial" w:eastAsia="Arial" w:hAnsi="Arial" w:cs="Arial"/>
          <w:color w:val="000000" w:themeColor="text1"/>
          <w:sz w:val="24"/>
          <w:szCs w:val="24"/>
        </w:rPr>
        <w:t>variables de</w:t>
      </w:r>
      <w:r w:rsidR="5141EA98" w:rsidRPr="005D3494">
        <w:rPr>
          <w:rFonts w:ascii="Arial" w:eastAsia="Arial" w:hAnsi="Arial" w:cs="Arial"/>
          <w:color w:val="000000" w:themeColor="text1"/>
          <w:sz w:val="24"/>
          <w:szCs w:val="24"/>
        </w:rPr>
        <w:t xml:space="preserve"> confusión</w:t>
      </w:r>
      <w:r w:rsidR="00A10CB7">
        <w:rPr>
          <w:rFonts w:ascii="Arial" w:eastAsia="Arial" w:hAnsi="Arial" w:cs="Arial"/>
          <w:color w:val="000000" w:themeColor="text1"/>
          <w:sz w:val="24"/>
          <w:szCs w:val="24"/>
        </w:rPr>
        <w:t xml:space="preserve"> </w:t>
      </w:r>
      <w:r w:rsidR="00B60238">
        <w:rPr>
          <w:rFonts w:ascii="Arial" w:eastAsia="Arial" w:hAnsi="Arial" w:cs="Arial"/>
          <w:color w:val="000000" w:themeColor="text1"/>
          <w:sz w:val="24"/>
          <w:szCs w:val="24"/>
        </w:rPr>
        <w:t>y</w:t>
      </w:r>
      <w:r w:rsidR="00A10CB7">
        <w:rPr>
          <w:rFonts w:ascii="Arial" w:eastAsia="Arial" w:hAnsi="Arial" w:cs="Arial"/>
          <w:color w:val="000000" w:themeColor="text1"/>
          <w:sz w:val="24"/>
          <w:szCs w:val="24"/>
        </w:rPr>
        <w:t xml:space="preserve"> pueden tener un efecto importante en los resultados</w:t>
      </w:r>
      <w:r w:rsidR="5141EA98" w:rsidRPr="005D3494">
        <w:rPr>
          <w:rFonts w:ascii="Arial" w:eastAsia="Arial" w:hAnsi="Arial" w:cs="Arial"/>
          <w:color w:val="000000" w:themeColor="text1"/>
          <w:sz w:val="24"/>
          <w:szCs w:val="24"/>
        </w:rPr>
        <w:t>.</w:t>
      </w:r>
      <w:r w:rsidR="5141EA98" w:rsidRPr="5141EA98">
        <w:rPr>
          <w:rFonts w:ascii="Arial" w:eastAsia="Arial" w:hAnsi="Arial" w:cs="Arial"/>
          <w:color w:val="000000" w:themeColor="text1"/>
          <w:sz w:val="24"/>
          <w:szCs w:val="24"/>
        </w:rPr>
        <w:t xml:space="preserve"> </w:t>
      </w:r>
      <w:r w:rsidR="00A10CB7">
        <w:rPr>
          <w:rFonts w:ascii="Arial" w:eastAsia="Arial" w:hAnsi="Arial" w:cs="Arial"/>
          <w:color w:val="000000" w:themeColor="text1"/>
          <w:sz w:val="24"/>
          <w:szCs w:val="24"/>
        </w:rPr>
        <w:t xml:space="preserve">Por último, ninguna de </w:t>
      </w:r>
      <w:r w:rsidR="001A1231">
        <w:rPr>
          <w:rFonts w:ascii="Arial" w:eastAsia="Arial" w:hAnsi="Arial" w:cs="Arial"/>
          <w:color w:val="000000" w:themeColor="text1"/>
          <w:sz w:val="24"/>
          <w:szCs w:val="24"/>
        </w:rPr>
        <w:t>las revisiones disponibles</w:t>
      </w:r>
      <w:r w:rsidR="00A10CB7">
        <w:rPr>
          <w:rFonts w:ascii="Arial" w:eastAsia="Arial" w:hAnsi="Arial" w:cs="Arial"/>
          <w:color w:val="000000" w:themeColor="text1"/>
          <w:sz w:val="24"/>
          <w:szCs w:val="24"/>
        </w:rPr>
        <w:t xml:space="preserve"> ha considerado evaluar la calidad del cuerpo de la evidencia con el método </w:t>
      </w:r>
      <w:r w:rsidR="5141EA98" w:rsidRPr="005D3494">
        <w:rPr>
          <w:rFonts w:ascii="Arial" w:eastAsia="Arial" w:hAnsi="Arial" w:cs="Arial"/>
          <w:color w:val="000000" w:themeColor="text1"/>
          <w:sz w:val="24"/>
          <w:szCs w:val="24"/>
        </w:rPr>
        <w:t>GRADE</w:t>
      </w:r>
      <w:r w:rsidR="00A10CB7">
        <w:rPr>
          <w:rFonts w:ascii="Arial" w:eastAsia="Arial" w:hAnsi="Arial" w:cs="Arial"/>
          <w:color w:val="000000" w:themeColor="text1"/>
          <w:sz w:val="24"/>
          <w:szCs w:val="24"/>
        </w:rPr>
        <w:t xml:space="preserve"> (</w:t>
      </w:r>
      <w:r w:rsidR="00A10CB7" w:rsidRPr="00FC6611">
        <w:rPr>
          <w:rFonts w:ascii="Arial" w:eastAsia="Arial" w:hAnsi="Arial" w:cs="Arial"/>
          <w:i/>
          <w:iCs/>
          <w:color w:val="000000" w:themeColor="text1"/>
          <w:sz w:val="24"/>
          <w:szCs w:val="24"/>
        </w:rPr>
        <w:t>Grading of Recommendations Assessment, Development and Evaluation</w:t>
      </w:r>
      <w:r w:rsidR="5141EA98" w:rsidRPr="005D3494">
        <w:rPr>
          <w:rFonts w:ascii="Arial" w:eastAsia="Arial" w:hAnsi="Arial" w:cs="Arial"/>
          <w:color w:val="000000" w:themeColor="text1"/>
          <w:sz w:val="24"/>
          <w:szCs w:val="24"/>
        </w:rPr>
        <w:t>)</w:t>
      </w:r>
      <w:r w:rsidR="00A10CB7">
        <w:rPr>
          <w:rFonts w:ascii="Arial" w:eastAsia="Arial" w:hAnsi="Arial" w:cs="Arial"/>
          <w:color w:val="000000" w:themeColor="text1"/>
          <w:sz w:val="24"/>
          <w:szCs w:val="24"/>
        </w:rPr>
        <w:t xml:space="preserve"> que permite evaluar la </w:t>
      </w:r>
      <w:r w:rsidR="001A1231">
        <w:rPr>
          <w:rFonts w:ascii="Arial" w:eastAsia="Arial" w:hAnsi="Arial" w:cs="Arial"/>
          <w:color w:val="000000" w:themeColor="text1"/>
          <w:sz w:val="24"/>
          <w:szCs w:val="24"/>
        </w:rPr>
        <w:t>c</w:t>
      </w:r>
      <w:r w:rsidR="00A10CB7">
        <w:rPr>
          <w:rFonts w:ascii="Arial" w:eastAsia="Arial" w:hAnsi="Arial" w:cs="Arial"/>
          <w:color w:val="000000" w:themeColor="text1"/>
          <w:sz w:val="24"/>
          <w:szCs w:val="24"/>
        </w:rPr>
        <w:t>erteza que podemos tener sobre los resultados</w:t>
      </w:r>
      <w:r w:rsidR="5141EA98" w:rsidRPr="005D3494">
        <w:rPr>
          <w:rFonts w:ascii="Arial" w:eastAsia="Arial" w:hAnsi="Arial" w:cs="Arial"/>
          <w:color w:val="000000" w:themeColor="text1"/>
          <w:sz w:val="24"/>
          <w:szCs w:val="24"/>
        </w:rPr>
        <w:t xml:space="preserve"> (</w:t>
      </w:r>
      <w:r w:rsidR="5141EA98" w:rsidRPr="005D3494">
        <w:rPr>
          <w:rFonts w:ascii="Arial" w:eastAsia="Arial" w:hAnsi="Arial" w:cs="Arial"/>
          <w:sz w:val="24"/>
          <w:szCs w:val="24"/>
        </w:rPr>
        <w:t xml:space="preserve">6). </w:t>
      </w:r>
    </w:p>
    <w:p w14:paraId="252A9C69" w14:textId="49913A45" w:rsidR="18D844C8" w:rsidRPr="005D3494"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rPr>
        <w:t xml:space="preserve"> </w:t>
      </w:r>
    </w:p>
    <w:p w14:paraId="48B19E55" w14:textId="1D517396" w:rsidR="18D844C8" w:rsidRPr="005D3494" w:rsidRDefault="5141EA98" w:rsidP="002D2D64">
      <w:pPr>
        <w:spacing w:after="0" w:line="360" w:lineRule="auto"/>
        <w:ind w:firstLine="680"/>
        <w:jc w:val="both"/>
        <w:rPr>
          <w:rFonts w:ascii="Arial" w:eastAsia="Arial" w:hAnsi="Arial" w:cs="Arial"/>
          <w:color w:val="000000" w:themeColor="text1"/>
          <w:sz w:val="24"/>
          <w:szCs w:val="24"/>
          <w:lang w:val="es-CO"/>
        </w:rPr>
      </w:pPr>
      <w:r w:rsidRPr="005D3494">
        <w:rPr>
          <w:rFonts w:ascii="Arial" w:eastAsia="Arial" w:hAnsi="Arial" w:cs="Arial"/>
          <w:color w:val="000000" w:themeColor="text1"/>
          <w:sz w:val="24"/>
          <w:szCs w:val="24"/>
        </w:rPr>
        <w:lastRenderedPageBreak/>
        <w:t xml:space="preserve">De acuerdo con lo anterior, el objetivo de esta revisión sistemática </w:t>
      </w:r>
      <w:r w:rsidR="00B60238">
        <w:rPr>
          <w:rFonts w:ascii="Arial" w:eastAsia="Arial" w:hAnsi="Arial" w:cs="Arial"/>
          <w:color w:val="000000" w:themeColor="text1"/>
          <w:sz w:val="24"/>
          <w:szCs w:val="24"/>
        </w:rPr>
        <w:t>es</w:t>
      </w:r>
      <w:r w:rsidRPr="005D3494">
        <w:rPr>
          <w:rFonts w:ascii="Arial" w:eastAsia="Arial" w:hAnsi="Arial" w:cs="Arial"/>
          <w:color w:val="000000" w:themeColor="text1"/>
          <w:sz w:val="24"/>
          <w:szCs w:val="24"/>
        </w:rPr>
        <w:t xml:space="preserve"> evaluar la eficacia y seguridad de la combinación rifapentina/isoniazida</w:t>
      </w:r>
      <w:r w:rsidR="00273FEA">
        <w:rPr>
          <w:rFonts w:ascii="Arial" w:eastAsia="Arial" w:hAnsi="Arial" w:cs="Arial"/>
          <w:color w:val="000000" w:themeColor="text1"/>
          <w:sz w:val="24"/>
          <w:szCs w:val="24"/>
        </w:rPr>
        <w:t xml:space="preserve"> </w:t>
      </w:r>
      <w:r w:rsidRPr="005D3494">
        <w:rPr>
          <w:rFonts w:ascii="Arial" w:eastAsia="Arial" w:hAnsi="Arial" w:cs="Arial"/>
          <w:color w:val="000000" w:themeColor="text1"/>
          <w:sz w:val="24"/>
          <w:szCs w:val="24"/>
        </w:rPr>
        <w:t>comparada con la monoterapia de isoniazida para prevenir la TB activa en personas con inmunodepresión secundaria.</w:t>
      </w:r>
      <w:r w:rsidR="00720DAE">
        <w:rPr>
          <w:rFonts w:ascii="Arial" w:eastAsia="Arial" w:hAnsi="Arial" w:cs="Arial"/>
          <w:color w:val="000000" w:themeColor="text1"/>
          <w:sz w:val="24"/>
          <w:szCs w:val="24"/>
        </w:rPr>
        <w:t xml:space="preserve"> </w:t>
      </w:r>
      <w:r w:rsidRPr="005D3494">
        <w:rPr>
          <w:rFonts w:ascii="Arial" w:eastAsia="Arial" w:hAnsi="Arial" w:cs="Arial"/>
          <w:color w:val="000000" w:themeColor="text1"/>
          <w:sz w:val="24"/>
          <w:szCs w:val="24"/>
        </w:rPr>
        <w:t xml:space="preserve">Para ello </w:t>
      </w:r>
      <w:r w:rsidR="001A1231">
        <w:rPr>
          <w:rFonts w:ascii="Arial" w:eastAsia="Arial" w:hAnsi="Arial" w:cs="Arial"/>
          <w:color w:val="000000" w:themeColor="text1"/>
          <w:sz w:val="24"/>
          <w:szCs w:val="24"/>
        </w:rPr>
        <w:t xml:space="preserve">se planteó </w:t>
      </w:r>
      <w:r w:rsidRPr="005D3494">
        <w:rPr>
          <w:rFonts w:ascii="Arial" w:eastAsia="Arial" w:hAnsi="Arial" w:cs="Arial"/>
          <w:color w:val="000000" w:themeColor="text1"/>
          <w:sz w:val="24"/>
          <w:szCs w:val="24"/>
        </w:rPr>
        <w:t xml:space="preserve">la siguiente pregunta: </w:t>
      </w:r>
      <w:r w:rsidRPr="005D3494">
        <w:rPr>
          <w:rFonts w:ascii="Arial" w:eastAsia="Arial" w:hAnsi="Arial" w:cs="Arial"/>
          <w:color w:val="000000" w:themeColor="text1"/>
          <w:sz w:val="24"/>
          <w:szCs w:val="24"/>
          <w:lang w:val="es-CO"/>
        </w:rPr>
        <w:t xml:space="preserve">¿Cuál es la eficacia de la combinación rifapentina/isoniazida comparada con la monoterapia de isoniazida para prevenir la TB activa en personas con inmunodepresión secundaria? </w:t>
      </w:r>
    </w:p>
    <w:p w14:paraId="1177067F" w14:textId="522C76EB" w:rsidR="18D844C8" w:rsidRPr="005D3494" w:rsidRDefault="5141EA98" w:rsidP="002D2D64">
      <w:pPr>
        <w:spacing w:after="0" w:line="240" w:lineRule="auto"/>
        <w:jc w:val="both"/>
        <w:rPr>
          <w:rFonts w:ascii="Arial" w:eastAsia="Arial" w:hAnsi="Arial" w:cs="Arial"/>
          <w:sz w:val="24"/>
          <w:szCs w:val="24"/>
        </w:rPr>
      </w:pPr>
      <w:r w:rsidRPr="005D3494">
        <w:rPr>
          <w:rFonts w:ascii="Arial" w:eastAsia="Arial" w:hAnsi="Arial" w:cs="Arial"/>
          <w:sz w:val="24"/>
          <w:szCs w:val="24"/>
        </w:rPr>
        <w:t xml:space="preserve"> </w:t>
      </w:r>
    </w:p>
    <w:p w14:paraId="36F9B777" w14:textId="62D305F3" w:rsidR="00361A1C" w:rsidRDefault="00B548E6" w:rsidP="007554DA">
      <w:pPr>
        <w:pStyle w:val="Ttulo1"/>
        <w:spacing w:line="360" w:lineRule="auto"/>
        <w:jc w:val="center"/>
      </w:pPr>
      <w:bookmarkStart w:id="5" w:name="_Toc85474267"/>
      <w:r w:rsidRPr="005D3494">
        <w:rPr>
          <w:lang w:val="es-CO"/>
        </w:rPr>
        <w:t>Métodos</w:t>
      </w:r>
      <w:bookmarkEnd w:id="5"/>
    </w:p>
    <w:p w14:paraId="549D8884" w14:textId="77777777" w:rsidR="002D2D64" w:rsidRPr="002D2D64" w:rsidRDefault="002D2D64" w:rsidP="002D2D64"/>
    <w:p w14:paraId="6E543B07" w14:textId="73B87F2E" w:rsidR="18D844C8" w:rsidRDefault="5141EA98" w:rsidP="002D2D64">
      <w:pPr>
        <w:spacing w:after="0" w:line="360" w:lineRule="auto"/>
        <w:ind w:firstLine="680"/>
        <w:jc w:val="both"/>
        <w:rPr>
          <w:rFonts w:ascii="Arial" w:eastAsia="Arial" w:hAnsi="Arial" w:cs="Arial"/>
          <w:color w:val="000000" w:themeColor="text1"/>
          <w:sz w:val="24"/>
          <w:szCs w:val="24"/>
        </w:rPr>
      </w:pPr>
      <w:r w:rsidRPr="5141EA98">
        <w:rPr>
          <w:rFonts w:ascii="Arial" w:eastAsia="Arial" w:hAnsi="Arial" w:cs="Arial"/>
          <w:color w:val="000000" w:themeColor="text1"/>
          <w:sz w:val="24"/>
          <w:szCs w:val="24"/>
        </w:rPr>
        <w:t xml:space="preserve">El protocolo de investigación se registró en PROSPERO con el número </w:t>
      </w:r>
      <w:r w:rsidRPr="000504A0">
        <w:rPr>
          <w:rFonts w:ascii="Arial" w:eastAsia="Arial" w:hAnsi="Arial" w:cs="Arial"/>
          <w:sz w:val="24"/>
          <w:szCs w:val="24"/>
        </w:rPr>
        <w:t>CRD42021237928.</w:t>
      </w:r>
      <w:r w:rsidRPr="5141EA98">
        <w:rPr>
          <w:rFonts w:ascii="Arial" w:eastAsia="Arial" w:hAnsi="Arial" w:cs="Arial"/>
          <w:color w:val="000000" w:themeColor="text1"/>
          <w:sz w:val="24"/>
          <w:szCs w:val="24"/>
        </w:rPr>
        <w:t xml:space="preserve"> Este informe se elaboró de acuerdo con las directrices de PRISMA</w:t>
      </w:r>
      <w:r w:rsidRPr="005D3494">
        <w:rPr>
          <w:rFonts w:ascii="Arial" w:eastAsia="Arial" w:hAnsi="Arial" w:cs="Arial"/>
          <w:color w:val="000000" w:themeColor="text1"/>
          <w:sz w:val="24"/>
          <w:szCs w:val="24"/>
        </w:rPr>
        <w:t xml:space="preserve"> </w:t>
      </w:r>
      <w:r w:rsidRPr="5141EA98">
        <w:rPr>
          <w:rFonts w:ascii="Arial" w:eastAsia="Arial" w:hAnsi="Arial" w:cs="Arial"/>
          <w:color w:val="000000" w:themeColor="text1"/>
          <w:sz w:val="24"/>
          <w:szCs w:val="24"/>
        </w:rPr>
        <w:t>2020</w:t>
      </w:r>
      <w:r w:rsidR="004C2E5E">
        <w:rPr>
          <w:rFonts w:ascii="Arial" w:eastAsia="Arial" w:hAnsi="Arial" w:cs="Arial"/>
          <w:color w:val="000000" w:themeColor="text1"/>
          <w:sz w:val="24"/>
          <w:szCs w:val="24"/>
        </w:rPr>
        <w:t xml:space="preserve"> (7)</w:t>
      </w:r>
      <w:r w:rsidRPr="5141EA98">
        <w:rPr>
          <w:rFonts w:ascii="Arial" w:eastAsia="Arial" w:hAnsi="Arial" w:cs="Arial"/>
          <w:color w:val="000000" w:themeColor="text1"/>
          <w:sz w:val="24"/>
          <w:szCs w:val="24"/>
        </w:rPr>
        <w:t xml:space="preserve"> detalladas en la </w:t>
      </w:r>
      <w:r w:rsidRPr="000504A0">
        <w:rPr>
          <w:rFonts w:ascii="Arial" w:eastAsia="Arial" w:hAnsi="Arial" w:cs="Arial"/>
          <w:bCs/>
          <w:color w:val="000000" w:themeColor="text1"/>
          <w:sz w:val="24"/>
          <w:szCs w:val="24"/>
        </w:rPr>
        <w:t>tabla 1</w:t>
      </w:r>
      <w:r w:rsidRPr="5141EA98">
        <w:rPr>
          <w:rFonts w:ascii="Arial" w:eastAsia="Arial" w:hAnsi="Arial" w:cs="Arial"/>
          <w:color w:val="000000" w:themeColor="text1"/>
          <w:sz w:val="24"/>
          <w:szCs w:val="24"/>
        </w:rPr>
        <w:t xml:space="preserve"> (ver anexo</w:t>
      </w:r>
      <w:r w:rsidR="001A1231">
        <w:rPr>
          <w:rFonts w:ascii="Arial" w:eastAsia="Arial" w:hAnsi="Arial" w:cs="Arial"/>
          <w:color w:val="000000" w:themeColor="text1"/>
          <w:sz w:val="24"/>
          <w:szCs w:val="24"/>
        </w:rPr>
        <w:t xml:space="preserve"> 1</w:t>
      </w:r>
      <w:r w:rsidRPr="5141EA98">
        <w:rPr>
          <w:rFonts w:ascii="Arial" w:eastAsia="Arial" w:hAnsi="Arial" w:cs="Arial"/>
          <w:color w:val="000000" w:themeColor="text1"/>
          <w:sz w:val="24"/>
          <w:szCs w:val="24"/>
        </w:rPr>
        <w:t>).</w:t>
      </w:r>
    </w:p>
    <w:p w14:paraId="2F575746" w14:textId="2609C432" w:rsidR="538C4EBD" w:rsidRPr="005D3494" w:rsidRDefault="538C4EBD" w:rsidP="002D2D64">
      <w:pPr>
        <w:spacing w:after="0" w:line="240" w:lineRule="auto"/>
        <w:jc w:val="both"/>
        <w:rPr>
          <w:rFonts w:ascii="Arial" w:eastAsia="Arial" w:hAnsi="Arial" w:cs="Arial"/>
          <w:color w:val="000000" w:themeColor="text1"/>
          <w:sz w:val="24"/>
          <w:szCs w:val="24"/>
        </w:rPr>
      </w:pPr>
    </w:p>
    <w:p w14:paraId="3F56C9D3" w14:textId="3A8B1A21" w:rsidR="18D844C8" w:rsidRDefault="5141EA98" w:rsidP="002D2D64">
      <w:pPr>
        <w:pStyle w:val="Ttulo2"/>
        <w:spacing w:line="360" w:lineRule="auto"/>
        <w:rPr>
          <w:bCs/>
          <w:lang w:val="es-CO"/>
        </w:rPr>
      </w:pPr>
      <w:bookmarkStart w:id="6" w:name="_Toc85474268"/>
      <w:r w:rsidRPr="00720DAE">
        <w:rPr>
          <w:bCs/>
          <w:lang w:val="es-CO"/>
        </w:rPr>
        <w:t>Criterios para considerar los estudios</w:t>
      </w:r>
      <w:bookmarkEnd w:id="6"/>
    </w:p>
    <w:p w14:paraId="0576263B" w14:textId="77777777" w:rsidR="002D2D64" w:rsidRPr="002D2D64" w:rsidRDefault="002D2D64" w:rsidP="002D2D64">
      <w:pPr>
        <w:spacing w:line="240" w:lineRule="auto"/>
        <w:rPr>
          <w:lang w:val="es-CO"/>
        </w:rPr>
      </w:pPr>
    </w:p>
    <w:p w14:paraId="3C472113" w14:textId="76A1891F" w:rsidR="18D844C8" w:rsidRPr="005D3494" w:rsidRDefault="001A1231" w:rsidP="002D2D64">
      <w:pPr>
        <w:spacing w:after="0" w:line="360" w:lineRule="auto"/>
        <w:ind w:firstLine="680"/>
        <w:jc w:val="both"/>
        <w:rPr>
          <w:rFonts w:ascii="Arial" w:eastAsia="Arial" w:hAnsi="Arial" w:cs="Arial"/>
          <w:color w:val="000000" w:themeColor="text1"/>
          <w:sz w:val="24"/>
          <w:szCs w:val="24"/>
        </w:rPr>
      </w:pPr>
      <w:r>
        <w:rPr>
          <w:rFonts w:ascii="Arial" w:eastAsia="Arial" w:hAnsi="Arial" w:cs="Arial"/>
          <w:color w:val="000000" w:themeColor="text1"/>
          <w:sz w:val="24"/>
          <w:szCs w:val="24"/>
          <w:lang w:val="es-CO"/>
        </w:rPr>
        <w:t>Se</w:t>
      </w:r>
      <w:r w:rsidR="5141EA98" w:rsidRPr="005D3494">
        <w:rPr>
          <w:rFonts w:ascii="Arial" w:eastAsia="Arial" w:hAnsi="Arial" w:cs="Arial"/>
          <w:color w:val="000000" w:themeColor="text1"/>
          <w:sz w:val="24"/>
          <w:szCs w:val="24"/>
          <w:lang w:val="es-CO"/>
        </w:rPr>
        <w:t xml:space="preserve"> </w:t>
      </w:r>
      <w:r>
        <w:rPr>
          <w:rFonts w:ascii="Arial" w:eastAsia="Arial" w:hAnsi="Arial" w:cs="Arial"/>
          <w:color w:val="000000" w:themeColor="text1"/>
          <w:sz w:val="24"/>
          <w:szCs w:val="24"/>
          <w:lang w:val="es-CO"/>
        </w:rPr>
        <w:t xml:space="preserve">incluyeron </w:t>
      </w:r>
      <w:r w:rsidR="5141EA98" w:rsidRPr="005D3494">
        <w:rPr>
          <w:rFonts w:ascii="Arial" w:eastAsia="Arial" w:hAnsi="Arial" w:cs="Arial"/>
          <w:color w:val="000000" w:themeColor="text1"/>
          <w:sz w:val="24"/>
          <w:szCs w:val="24"/>
          <w:lang w:val="es-CO"/>
        </w:rPr>
        <w:t>ensayos clínicos aleatorizados</w:t>
      </w:r>
      <w:r w:rsidR="5141EA98" w:rsidRPr="5141EA98">
        <w:rPr>
          <w:rFonts w:ascii="Arial" w:eastAsia="Arial" w:hAnsi="Arial" w:cs="Arial"/>
          <w:color w:val="000000" w:themeColor="text1"/>
          <w:sz w:val="24"/>
          <w:szCs w:val="24"/>
          <w:lang w:val="es-CO"/>
        </w:rPr>
        <w:t xml:space="preserve"> (ECA)</w:t>
      </w:r>
      <w:r w:rsidR="5141EA98" w:rsidRPr="005D3494">
        <w:rPr>
          <w:rFonts w:ascii="Arial" w:eastAsia="Arial" w:hAnsi="Arial" w:cs="Arial"/>
          <w:color w:val="000000" w:themeColor="text1"/>
          <w:sz w:val="24"/>
          <w:szCs w:val="24"/>
          <w:lang w:val="es-CO"/>
        </w:rPr>
        <w:t xml:space="preserve"> y estudios de </w:t>
      </w:r>
      <w:r w:rsidR="00E0130A">
        <w:rPr>
          <w:rFonts w:ascii="Arial" w:eastAsia="Arial" w:hAnsi="Arial" w:cs="Arial"/>
          <w:color w:val="000000" w:themeColor="text1"/>
          <w:sz w:val="24"/>
          <w:szCs w:val="24"/>
          <w:lang w:val="es-CO"/>
        </w:rPr>
        <w:t>cohortes</w:t>
      </w:r>
      <w:r w:rsidR="5141EA98" w:rsidRPr="005D3494">
        <w:rPr>
          <w:rFonts w:ascii="Arial" w:eastAsia="Arial" w:hAnsi="Arial" w:cs="Arial"/>
          <w:color w:val="000000" w:themeColor="text1"/>
          <w:sz w:val="24"/>
          <w:szCs w:val="24"/>
          <w:lang w:val="es-CO"/>
        </w:rPr>
        <w:t xml:space="preserve"> prospectivos con un tiempo de seguimiento a los participantes igual o mayor a 2 años. </w:t>
      </w:r>
      <w:r w:rsidR="00F93E85">
        <w:rPr>
          <w:rFonts w:ascii="Arial" w:eastAsia="Arial" w:hAnsi="Arial" w:cs="Arial"/>
          <w:color w:val="000000" w:themeColor="text1"/>
          <w:sz w:val="24"/>
          <w:szCs w:val="24"/>
          <w:lang w:val="es-CO"/>
        </w:rPr>
        <w:t xml:space="preserve">Incluimos </w:t>
      </w:r>
      <w:r w:rsidR="00273FEA">
        <w:rPr>
          <w:rFonts w:ascii="Arial" w:eastAsia="Arial" w:hAnsi="Arial" w:cs="Arial"/>
          <w:color w:val="000000" w:themeColor="text1"/>
          <w:sz w:val="24"/>
          <w:szCs w:val="24"/>
          <w:lang w:val="es-CO"/>
        </w:rPr>
        <w:t>estudios observacionales</w:t>
      </w:r>
      <w:r w:rsidR="00B60238">
        <w:rPr>
          <w:rFonts w:ascii="Arial" w:eastAsia="Arial" w:hAnsi="Arial" w:cs="Arial"/>
          <w:color w:val="000000" w:themeColor="text1"/>
          <w:sz w:val="24"/>
          <w:szCs w:val="24"/>
          <w:lang w:val="es-CO"/>
        </w:rPr>
        <w:t>,</w:t>
      </w:r>
      <w:r w:rsidR="00273FEA">
        <w:rPr>
          <w:rFonts w:ascii="Arial" w:eastAsia="Arial" w:hAnsi="Arial" w:cs="Arial"/>
          <w:color w:val="000000" w:themeColor="text1"/>
          <w:sz w:val="24"/>
          <w:szCs w:val="24"/>
          <w:lang w:val="es-CO"/>
        </w:rPr>
        <w:t xml:space="preserve"> además de los ECA</w:t>
      </w:r>
      <w:r w:rsidR="00B60238">
        <w:rPr>
          <w:rFonts w:ascii="Arial" w:eastAsia="Arial" w:hAnsi="Arial" w:cs="Arial"/>
          <w:color w:val="000000" w:themeColor="text1"/>
          <w:sz w:val="24"/>
          <w:szCs w:val="24"/>
          <w:lang w:val="es-CO"/>
        </w:rPr>
        <w:t>,</w:t>
      </w:r>
      <w:r w:rsidR="00273FEA">
        <w:rPr>
          <w:rFonts w:ascii="Arial" w:eastAsia="Arial" w:hAnsi="Arial" w:cs="Arial"/>
          <w:color w:val="000000" w:themeColor="text1"/>
          <w:sz w:val="24"/>
          <w:szCs w:val="24"/>
          <w:lang w:val="es-CO"/>
        </w:rPr>
        <w:t xml:space="preserve"> por ser 3HP una </w:t>
      </w:r>
      <w:r>
        <w:rPr>
          <w:rFonts w:ascii="Arial" w:eastAsia="Arial" w:hAnsi="Arial" w:cs="Arial"/>
          <w:color w:val="000000" w:themeColor="text1"/>
          <w:sz w:val="24"/>
          <w:szCs w:val="24"/>
          <w:lang w:val="es-CO"/>
        </w:rPr>
        <w:t xml:space="preserve">terapia </w:t>
      </w:r>
      <w:r w:rsidR="00273FEA">
        <w:rPr>
          <w:rFonts w:ascii="Arial" w:eastAsia="Arial" w:hAnsi="Arial" w:cs="Arial"/>
          <w:color w:val="000000" w:themeColor="text1"/>
          <w:sz w:val="24"/>
          <w:szCs w:val="24"/>
          <w:lang w:val="es-CO"/>
        </w:rPr>
        <w:t>de reciente autorización y algunos ECA</w:t>
      </w:r>
      <w:r w:rsidR="00DB56D3">
        <w:rPr>
          <w:rFonts w:ascii="Arial" w:eastAsia="Arial" w:hAnsi="Arial" w:cs="Arial"/>
          <w:color w:val="000000" w:themeColor="text1"/>
          <w:sz w:val="24"/>
          <w:szCs w:val="24"/>
          <w:lang w:val="es-CO"/>
        </w:rPr>
        <w:t xml:space="preserve"> </w:t>
      </w:r>
      <w:r w:rsidR="00C40182">
        <w:rPr>
          <w:rFonts w:ascii="Arial" w:eastAsia="Arial" w:hAnsi="Arial" w:cs="Arial"/>
          <w:color w:val="000000" w:themeColor="text1"/>
          <w:sz w:val="24"/>
          <w:szCs w:val="24"/>
          <w:lang w:val="es-CO"/>
        </w:rPr>
        <w:t xml:space="preserve">con la </w:t>
      </w:r>
      <w:r w:rsidR="00DB56D3">
        <w:rPr>
          <w:rFonts w:ascii="Arial" w:eastAsia="Arial" w:hAnsi="Arial" w:cs="Arial"/>
          <w:color w:val="000000" w:themeColor="text1"/>
          <w:sz w:val="24"/>
          <w:szCs w:val="24"/>
          <w:lang w:val="es-CO"/>
        </w:rPr>
        <w:t>población de interés</w:t>
      </w:r>
      <w:r w:rsidR="00273FEA">
        <w:rPr>
          <w:rFonts w:ascii="Arial" w:eastAsia="Arial" w:hAnsi="Arial" w:cs="Arial"/>
          <w:color w:val="000000" w:themeColor="text1"/>
          <w:sz w:val="24"/>
          <w:szCs w:val="24"/>
          <w:lang w:val="es-CO"/>
        </w:rPr>
        <w:t xml:space="preserve"> pueden estar en curso aún</w:t>
      </w:r>
      <w:r w:rsidR="00B60238">
        <w:rPr>
          <w:rFonts w:ascii="Arial" w:eastAsia="Arial" w:hAnsi="Arial" w:cs="Arial"/>
          <w:color w:val="000000" w:themeColor="text1"/>
          <w:sz w:val="24"/>
          <w:szCs w:val="24"/>
          <w:lang w:val="es-CO"/>
        </w:rPr>
        <w:t>.</w:t>
      </w:r>
      <w:r w:rsidR="00BB7FD6">
        <w:rPr>
          <w:rFonts w:ascii="Arial" w:eastAsia="Arial" w:hAnsi="Arial" w:cs="Arial"/>
          <w:color w:val="000000" w:themeColor="text1"/>
          <w:sz w:val="24"/>
          <w:szCs w:val="24"/>
          <w:lang w:val="es-CO"/>
        </w:rPr>
        <w:t xml:space="preserve"> </w:t>
      </w:r>
      <w:r w:rsidR="00BB7FD6" w:rsidRPr="00081C8F">
        <w:rPr>
          <w:rFonts w:ascii="Arial" w:eastAsia="Arial" w:hAnsi="Arial" w:cs="Arial"/>
          <w:color w:val="000000" w:themeColor="text1"/>
          <w:sz w:val="24"/>
          <w:szCs w:val="24"/>
          <w:lang w:val="es-CO"/>
        </w:rPr>
        <w:t xml:space="preserve">Así mismo, una sola revisión puede incluir diferentes tipos de estudio para abordar diferentes resultados, por ejemplo, ensayos aleatorios para evaluar los beneficios y estudios no aleatorizados para evaluar los </w:t>
      </w:r>
      <w:r w:rsidR="00F93E85" w:rsidRPr="00081C8F">
        <w:rPr>
          <w:rFonts w:ascii="Arial" w:eastAsia="Arial" w:hAnsi="Arial" w:cs="Arial"/>
          <w:color w:val="000000" w:themeColor="text1"/>
          <w:sz w:val="24"/>
          <w:szCs w:val="24"/>
          <w:lang w:val="es-CO"/>
        </w:rPr>
        <w:t>efectos adversos</w:t>
      </w:r>
      <w:r w:rsidR="00BB7FD6" w:rsidRPr="00081C8F">
        <w:rPr>
          <w:rFonts w:ascii="Arial" w:eastAsia="Arial" w:hAnsi="Arial" w:cs="Arial"/>
          <w:color w:val="000000" w:themeColor="text1"/>
          <w:sz w:val="24"/>
          <w:szCs w:val="24"/>
          <w:lang w:val="es-CO"/>
        </w:rPr>
        <w:t>.</w:t>
      </w:r>
      <w:r w:rsidR="00C40182">
        <w:rPr>
          <w:rFonts w:ascii="Arial" w:eastAsia="Arial" w:hAnsi="Arial" w:cs="Arial"/>
          <w:color w:val="000000" w:themeColor="text1"/>
          <w:sz w:val="24"/>
          <w:szCs w:val="24"/>
          <w:lang w:val="es-CO"/>
        </w:rPr>
        <w:t xml:space="preserve"> </w:t>
      </w:r>
      <w:r w:rsidR="00C563E3">
        <w:rPr>
          <w:rFonts w:ascii="Arial" w:eastAsia="Arial" w:hAnsi="Arial" w:cs="Arial"/>
          <w:color w:val="000000" w:themeColor="text1"/>
          <w:sz w:val="24"/>
          <w:szCs w:val="24"/>
          <w:lang w:val="es-CO"/>
        </w:rPr>
        <w:t xml:space="preserve"> También s</w:t>
      </w:r>
      <w:r w:rsidR="5141EA98" w:rsidRPr="005D3494">
        <w:rPr>
          <w:rFonts w:ascii="Arial" w:eastAsia="Arial" w:hAnsi="Arial" w:cs="Arial"/>
          <w:color w:val="000000" w:themeColor="text1"/>
          <w:sz w:val="24"/>
          <w:szCs w:val="24"/>
          <w:lang w:val="es-CO"/>
        </w:rPr>
        <w:t>e consideraron</w:t>
      </w:r>
      <w:r w:rsidR="00C563E3">
        <w:rPr>
          <w:rFonts w:ascii="Arial" w:eastAsia="Arial" w:hAnsi="Arial" w:cs="Arial"/>
          <w:color w:val="000000" w:themeColor="text1"/>
          <w:sz w:val="24"/>
          <w:szCs w:val="24"/>
          <w:lang w:val="es-CO"/>
        </w:rPr>
        <w:t xml:space="preserve"> </w:t>
      </w:r>
      <w:r w:rsidR="5141EA98" w:rsidRPr="005D3494">
        <w:rPr>
          <w:rFonts w:ascii="Arial" w:eastAsia="Arial" w:hAnsi="Arial" w:cs="Arial"/>
          <w:color w:val="000000" w:themeColor="text1"/>
          <w:sz w:val="24"/>
          <w:szCs w:val="24"/>
          <w:lang w:val="es-CO"/>
        </w:rPr>
        <w:t>estudios realizados en niños y adultos de ambos sexos con inmunodepresión secundaria</w:t>
      </w:r>
      <w:r w:rsidR="00BB7FD6">
        <w:rPr>
          <w:rFonts w:ascii="Arial" w:eastAsia="Arial" w:hAnsi="Arial" w:cs="Arial"/>
          <w:color w:val="000000" w:themeColor="text1"/>
          <w:sz w:val="24"/>
          <w:szCs w:val="24"/>
          <w:lang w:val="es-CO"/>
        </w:rPr>
        <w:t xml:space="preserve"> </w:t>
      </w:r>
      <w:r w:rsidR="00BB7FD6" w:rsidRPr="00081C8F">
        <w:rPr>
          <w:rFonts w:ascii="Arial" w:eastAsia="Arial" w:hAnsi="Arial" w:cs="Arial"/>
          <w:color w:val="000000" w:themeColor="text1"/>
          <w:sz w:val="24"/>
          <w:szCs w:val="24"/>
          <w:lang w:val="es-CO"/>
        </w:rPr>
        <w:t>priorizados por la OMS</w:t>
      </w:r>
      <w:r w:rsidR="00491EF0" w:rsidRPr="00081C8F">
        <w:rPr>
          <w:rFonts w:ascii="Arial" w:eastAsia="Arial" w:hAnsi="Arial" w:cs="Arial"/>
          <w:color w:val="000000" w:themeColor="text1"/>
          <w:sz w:val="24"/>
          <w:szCs w:val="24"/>
          <w:lang w:val="es-CO"/>
        </w:rPr>
        <w:t xml:space="preserve"> (3)</w:t>
      </w:r>
      <w:r w:rsidR="5141EA98" w:rsidRPr="00081C8F">
        <w:rPr>
          <w:rFonts w:ascii="Arial" w:eastAsia="Arial" w:hAnsi="Arial" w:cs="Arial"/>
          <w:color w:val="000000" w:themeColor="text1"/>
          <w:sz w:val="24"/>
          <w:szCs w:val="24"/>
          <w:lang w:val="es-CO"/>
        </w:rPr>
        <w:t>,</w:t>
      </w:r>
      <w:r w:rsidR="5141EA98" w:rsidRPr="00491EF0">
        <w:rPr>
          <w:rFonts w:ascii="Arial" w:eastAsia="Arial" w:hAnsi="Arial" w:cs="Arial"/>
          <w:color w:val="000000" w:themeColor="text1"/>
          <w:sz w:val="24"/>
          <w:szCs w:val="24"/>
          <w:lang w:val="es-CO"/>
        </w:rPr>
        <w:t xml:space="preserve"> </w:t>
      </w:r>
      <w:r w:rsidR="5141EA98" w:rsidRPr="005D3494">
        <w:rPr>
          <w:rFonts w:ascii="Arial" w:eastAsia="Arial" w:hAnsi="Arial" w:cs="Arial"/>
          <w:color w:val="000000" w:themeColor="text1"/>
          <w:sz w:val="24"/>
          <w:szCs w:val="24"/>
          <w:lang w:val="es-CO"/>
        </w:rPr>
        <w:t>ya sea por VIH, trasplante de órganos sólidos o células hematopoyéticas, terapia de re</w:t>
      </w:r>
      <w:r w:rsidR="00EF7070">
        <w:rPr>
          <w:rFonts w:ascii="Arial" w:eastAsia="Arial" w:hAnsi="Arial" w:cs="Arial"/>
          <w:color w:val="000000" w:themeColor="text1"/>
          <w:sz w:val="24"/>
          <w:szCs w:val="24"/>
          <w:lang w:val="es-CO"/>
        </w:rPr>
        <w:t>e</w:t>
      </w:r>
      <w:r w:rsidR="5141EA98" w:rsidRPr="005D3494">
        <w:rPr>
          <w:rFonts w:ascii="Arial" w:eastAsia="Arial" w:hAnsi="Arial" w:cs="Arial"/>
          <w:color w:val="000000" w:themeColor="text1"/>
          <w:sz w:val="24"/>
          <w:szCs w:val="24"/>
          <w:lang w:val="es-CO"/>
        </w:rPr>
        <w:t>mplazo renal, diabetes mellitus y terapias inmunosupresoras</w:t>
      </w:r>
      <w:r w:rsidR="00C40182">
        <w:rPr>
          <w:rFonts w:ascii="Arial" w:eastAsia="Arial" w:hAnsi="Arial" w:cs="Arial"/>
          <w:color w:val="000000" w:themeColor="text1"/>
          <w:sz w:val="24"/>
          <w:szCs w:val="24"/>
          <w:lang w:val="es-CO"/>
        </w:rPr>
        <w:t xml:space="preserve">, </w:t>
      </w:r>
      <w:r w:rsidR="00B60238">
        <w:rPr>
          <w:rFonts w:ascii="Arial" w:eastAsia="Arial" w:hAnsi="Arial" w:cs="Arial"/>
          <w:color w:val="000000" w:themeColor="text1"/>
          <w:sz w:val="24"/>
          <w:szCs w:val="24"/>
          <w:lang w:val="es-CO"/>
        </w:rPr>
        <w:t>que</w:t>
      </w:r>
      <w:r w:rsidR="00C40182">
        <w:rPr>
          <w:rFonts w:ascii="Arial" w:eastAsia="Arial" w:hAnsi="Arial" w:cs="Arial"/>
          <w:color w:val="000000" w:themeColor="text1"/>
          <w:sz w:val="24"/>
          <w:szCs w:val="24"/>
          <w:lang w:val="es-CO"/>
        </w:rPr>
        <w:t xml:space="preserve"> hayan sido diagnosticados con ILTB a través de </w:t>
      </w:r>
      <w:r w:rsidR="5141EA98" w:rsidRPr="005D3494">
        <w:rPr>
          <w:rFonts w:ascii="Arial" w:eastAsia="Arial" w:hAnsi="Arial" w:cs="Arial"/>
          <w:color w:val="000000" w:themeColor="text1"/>
          <w:sz w:val="24"/>
          <w:szCs w:val="24"/>
          <w:lang w:val="es-CO"/>
        </w:rPr>
        <w:t>prueba TST ≥ 5 mm y/o IGRA positivo.</w:t>
      </w:r>
      <w:r w:rsidR="00720DAE">
        <w:rPr>
          <w:rFonts w:ascii="Arial" w:eastAsia="Arial" w:hAnsi="Arial" w:cs="Arial"/>
          <w:color w:val="000000" w:themeColor="text1"/>
          <w:sz w:val="24"/>
          <w:szCs w:val="24"/>
        </w:rPr>
        <w:t xml:space="preserve"> </w:t>
      </w:r>
    </w:p>
    <w:p w14:paraId="2085F3FD" w14:textId="4E9BE735" w:rsidR="18D844C8" w:rsidRPr="005D3494" w:rsidRDefault="00720DAE" w:rsidP="002D2D64">
      <w:p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14:paraId="40A3FE9B" w14:textId="2E165D21" w:rsidR="18D844C8" w:rsidRPr="005D3494"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lang w:val="es-CO"/>
        </w:rPr>
        <w:t>La intervención</w:t>
      </w:r>
      <w:r w:rsidRPr="005D3494">
        <w:rPr>
          <w:rFonts w:ascii="Arial" w:eastAsia="Arial" w:hAnsi="Arial" w:cs="Arial"/>
          <w:b/>
          <w:bCs/>
          <w:color w:val="000000" w:themeColor="text1"/>
          <w:sz w:val="24"/>
          <w:szCs w:val="24"/>
          <w:lang w:val="es-CO"/>
        </w:rPr>
        <w:t xml:space="preserve"> </w:t>
      </w:r>
      <w:r w:rsidR="005A5E60">
        <w:rPr>
          <w:rFonts w:ascii="Arial" w:eastAsia="Arial" w:hAnsi="Arial" w:cs="Arial"/>
          <w:color w:val="000000" w:themeColor="text1"/>
          <w:sz w:val="24"/>
          <w:szCs w:val="24"/>
          <w:lang w:val="es-CO"/>
        </w:rPr>
        <w:t>de interés</w:t>
      </w:r>
      <w:r w:rsidRPr="005D3494">
        <w:rPr>
          <w:rFonts w:ascii="Arial" w:eastAsia="Arial" w:hAnsi="Arial" w:cs="Arial"/>
          <w:color w:val="000000" w:themeColor="text1"/>
          <w:sz w:val="24"/>
          <w:szCs w:val="24"/>
          <w:lang w:val="es-CO"/>
        </w:rPr>
        <w:t xml:space="preserve"> fue </w:t>
      </w:r>
      <w:r w:rsidRPr="005D3494">
        <w:rPr>
          <w:rFonts w:ascii="Arial" w:eastAsia="Arial" w:hAnsi="Arial" w:cs="Arial"/>
          <w:color w:val="000000" w:themeColor="text1"/>
          <w:sz w:val="24"/>
          <w:szCs w:val="24"/>
        </w:rPr>
        <w:t>la</w:t>
      </w:r>
      <w:r w:rsidRPr="005D3494">
        <w:rPr>
          <w:rFonts w:ascii="Arial" w:eastAsia="Arial" w:hAnsi="Arial" w:cs="Arial"/>
          <w:sz w:val="24"/>
          <w:szCs w:val="24"/>
        </w:rPr>
        <w:t xml:space="preserve"> </w:t>
      </w:r>
      <w:r w:rsidRPr="005D3494">
        <w:rPr>
          <w:rFonts w:ascii="Arial" w:eastAsia="Arial" w:hAnsi="Arial" w:cs="Arial"/>
          <w:color w:val="000000" w:themeColor="text1"/>
          <w:sz w:val="24"/>
          <w:szCs w:val="24"/>
          <w:lang w:val="es-CO"/>
        </w:rPr>
        <w:t xml:space="preserve">combinación de rifapentina (dosis máxima 900mg, vía oral) con isoniazida (dosis máxima 900 mg, vía oral) semanal por 3 meses (12 dosis). </w:t>
      </w:r>
      <w:r w:rsidR="00DB56D3">
        <w:rPr>
          <w:rFonts w:ascii="Arial" w:eastAsia="Arial" w:hAnsi="Arial" w:cs="Arial"/>
          <w:color w:val="000000" w:themeColor="text1"/>
          <w:sz w:val="24"/>
          <w:szCs w:val="24"/>
          <w:lang w:val="es-CO"/>
        </w:rPr>
        <w:t xml:space="preserve">El comparador fue </w:t>
      </w:r>
      <w:r w:rsidRPr="005D3494">
        <w:rPr>
          <w:rFonts w:ascii="Arial" w:eastAsia="Arial" w:hAnsi="Arial" w:cs="Arial"/>
          <w:color w:val="000000" w:themeColor="text1"/>
          <w:sz w:val="24"/>
          <w:szCs w:val="24"/>
          <w:lang w:val="es-CO"/>
        </w:rPr>
        <w:t>isoniazida sola (dosis máxima 300 mg, vía oral, diaria) por</w:t>
      </w:r>
      <w:r w:rsidRPr="005D3494">
        <w:rPr>
          <w:rFonts w:ascii="Arial" w:eastAsia="Arial" w:hAnsi="Arial" w:cs="Arial"/>
          <w:color w:val="FF0000"/>
          <w:sz w:val="24"/>
          <w:szCs w:val="24"/>
          <w:lang w:val="es-CO"/>
        </w:rPr>
        <w:t xml:space="preserve"> </w:t>
      </w:r>
      <w:r w:rsidRPr="005D3494">
        <w:rPr>
          <w:rFonts w:ascii="Arial" w:eastAsia="Arial" w:hAnsi="Arial" w:cs="Arial"/>
          <w:color w:val="000000" w:themeColor="text1"/>
          <w:sz w:val="24"/>
          <w:szCs w:val="24"/>
          <w:lang w:val="es-CO"/>
        </w:rPr>
        <w:t>9 meses</w:t>
      </w:r>
      <w:r w:rsidRPr="00081C8F">
        <w:rPr>
          <w:rFonts w:ascii="Arial" w:eastAsia="Arial" w:hAnsi="Arial" w:cs="Arial"/>
          <w:color w:val="000000" w:themeColor="text1"/>
          <w:sz w:val="24"/>
          <w:szCs w:val="24"/>
          <w:lang w:val="es-CO"/>
        </w:rPr>
        <w:t>.</w:t>
      </w:r>
      <w:r w:rsidR="00720DAE" w:rsidRPr="00081C8F">
        <w:rPr>
          <w:rFonts w:ascii="Arial" w:eastAsia="Arial" w:hAnsi="Arial" w:cs="Arial"/>
          <w:color w:val="000000" w:themeColor="text1"/>
          <w:sz w:val="24"/>
          <w:szCs w:val="24"/>
        </w:rPr>
        <w:t xml:space="preserve"> </w:t>
      </w:r>
      <w:r w:rsidRPr="00081C8F">
        <w:rPr>
          <w:rFonts w:ascii="Arial" w:eastAsia="Arial" w:hAnsi="Arial" w:cs="Arial"/>
          <w:color w:val="000000" w:themeColor="text1"/>
          <w:sz w:val="24"/>
          <w:szCs w:val="24"/>
        </w:rPr>
        <w:lastRenderedPageBreak/>
        <w:t xml:space="preserve">El desenlace primario fue </w:t>
      </w:r>
      <w:r w:rsidRPr="00081C8F">
        <w:rPr>
          <w:rFonts w:ascii="Arial" w:eastAsia="Arial" w:hAnsi="Arial" w:cs="Arial"/>
          <w:sz w:val="24"/>
          <w:szCs w:val="24"/>
        </w:rPr>
        <w:t xml:space="preserve">la </w:t>
      </w:r>
      <w:r w:rsidRPr="00081C8F">
        <w:rPr>
          <w:rFonts w:ascii="Arial" w:eastAsia="Arial" w:hAnsi="Arial" w:cs="Arial"/>
          <w:color w:val="000000" w:themeColor="text1"/>
          <w:sz w:val="24"/>
          <w:szCs w:val="24"/>
          <w:lang w:val="es-CO"/>
        </w:rPr>
        <w:t xml:space="preserve">incidencia de TB pulmonar activa </w:t>
      </w:r>
      <w:r w:rsidR="002B030F" w:rsidRPr="00081C8F">
        <w:rPr>
          <w:rFonts w:ascii="Arial" w:eastAsia="Arial" w:hAnsi="Arial" w:cs="Arial"/>
          <w:color w:val="000000" w:themeColor="text1"/>
          <w:sz w:val="24"/>
          <w:szCs w:val="24"/>
          <w:lang w:val="es-CO"/>
        </w:rPr>
        <w:t>(durante mínimo 2</w:t>
      </w:r>
      <w:r w:rsidRPr="00081C8F">
        <w:rPr>
          <w:rFonts w:ascii="Arial" w:eastAsia="Arial" w:hAnsi="Arial" w:cs="Arial"/>
          <w:color w:val="000000" w:themeColor="text1"/>
          <w:sz w:val="24"/>
          <w:szCs w:val="24"/>
          <w:lang w:val="es-CO"/>
        </w:rPr>
        <w:t xml:space="preserve"> años de seguimiento de los participantes) diagnosticada según los criterios de la OMS:</w:t>
      </w:r>
      <w:r w:rsidRPr="005D3494">
        <w:rPr>
          <w:rFonts w:ascii="Arial" w:eastAsia="Arial" w:hAnsi="Arial" w:cs="Arial"/>
          <w:color w:val="000000" w:themeColor="text1"/>
          <w:sz w:val="24"/>
          <w:szCs w:val="24"/>
          <w:lang w:val="es-CO"/>
        </w:rPr>
        <w:t xml:space="preserve"> </w:t>
      </w:r>
      <w:r w:rsidR="00EF7070">
        <w:rPr>
          <w:rFonts w:ascii="Arial" w:eastAsia="Arial" w:hAnsi="Arial" w:cs="Arial"/>
          <w:color w:val="000000" w:themeColor="text1"/>
          <w:sz w:val="24"/>
          <w:szCs w:val="24"/>
          <w:lang w:val="es-CO"/>
        </w:rPr>
        <w:t>confirmada por</w:t>
      </w:r>
      <w:r w:rsidRPr="005D3494">
        <w:rPr>
          <w:rFonts w:ascii="Arial" w:eastAsia="Arial" w:hAnsi="Arial" w:cs="Arial"/>
          <w:color w:val="000000" w:themeColor="text1"/>
          <w:sz w:val="24"/>
          <w:szCs w:val="24"/>
          <w:lang w:val="es-CO"/>
        </w:rPr>
        <w:t xml:space="preserve"> baciloscopia, cultivo microbiológico o prueba de reacción en cadena de polimerasa (</w:t>
      </w:r>
      <w:r w:rsidRPr="5141EA98">
        <w:rPr>
          <w:rFonts w:ascii="Arial" w:eastAsia="Arial" w:hAnsi="Arial" w:cs="Arial"/>
          <w:color w:val="000000" w:themeColor="text1"/>
          <w:sz w:val="24"/>
          <w:szCs w:val="24"/>
          <w:lang w:val="es-CO"/>
        </w:rPr>
        <w:t>3</w:t>
      </w:r>
      <w:r w:rsidRPr="00081C8F">
        <w:rPr>
          <w:rFonts w:ascii="Arial" w:eastAsia="Arial" w:hAnsi="Arial" w:cs="Arial"/>
          <w:color w:val="000000" w:themeColor="text1"/>
          <w:sz w:val="24"/>
          <w:szCs w:val="24"/>
          <w:lang w:val="es-CO"/>
        </w:rPr>
        <w:t>).</w:t>
      </w:r>
      <w:r w:rsidRPr="00081C8F">
        <w:rPr>
          <w:rFonts w:ascii="Arial" w:eastAsia="Arial" w:hAnsi="Arial" w:cs="Arial"/>
          <w:color w:val="000000" w:themeColor="text1"/>
          <w:sz w:val="24"/>
          <w:szCs w:val="24"/>
        </w:rPr>
        <w:t xml:space="preserve"> </w:t>
      </w:r>
      <w:r w:rsidR="002B030F" w:rsidRPr="00081C8F">
        <w:rPr>
          <w:rFonts w:ascii="Arial" w:eastAsia="Arial" w:hAnsi="Arial" w:cs="Arial"/>
          <w:color w:val="000000" w:themeColor="text1"/>
          <w:sz w:val="24"/>
          <w:szCs w:val="24"/>
        </w:rPr>
        <w:t>Los desenlaces</w:t>
      </w:r>
      <w:r w:rsidRPr="00081C8F">
        <w:rPr>
          <w:rFonts w:ascii="Arial" w:eastAsia="Arial" w:hAnsi="Arial" w:cs="Arial"/>
          <w:color w:val="000000" w:themeColor="text1"/>
          <w:sz w:val="24"/>
          <w:szCs w:val="24"/>
        </w:rPr>
        <w:t xml:space="preserve"> secundarios fue</w:t>
      </w:r>
      <w:r w:rsidR="002B030F" w:rsidRPr="00081C8F">
        <w:rPr>
          <w:rFonts w:ascii="Arial" w:eastAsia="Arial" w:hAnsi="Arial" w:cs="Arial"/>
          <w:color w:val="000000" w:themeColor="text1"/>
          <w:sz w:val="24"/>
          <w:szCs w:val="24"/>
        </w:rPr>
        <w:t>ron:</w:t>
      </w:r>
      <w:r w:rsidRPr="00081C8F">
        <w:rPr>
          <w:rFonts w:ascii="Arial" w:eastAsia="Arial" w:hAnsi="Arial" w:cs="Arial"/>
          <w:color w:val="000000" w:themeColor="text1"/>
          <w:sz w:val="24"/>
          <w:szCs w:val="24"/>
        </w:rPr>
        <w:t xml:space="preserve"> </w:t>
      </w:r>
      <w:r w:rsidRPr="00081C8F">
        <w:rPr>
          <w:rFonts w:ascii="Arial" w:eastAsia="Arial" w:hAnsi="Arial" w:cs="Arial"/>
          <w:sz w:val="24"/>
          <w:szCs w:val="24"/>
        </w:rPr>
        <w:t>el</w:t>
      </w:r>
      <w:r w:rsidR="00DB56D3" w:rsidRPr="00081C8F">
        <w:rPr>
          <w:rFonts w:ascii="Arial" w:eastAsia="Arial" w:hAnsi="Arial" w:cs="Arial"/>
          <w:sz w:val="24"/>
          <w:szCs w:val="24"/>
        </w:rPr>
        <w:t xml:space="preserve"> </w:t>
      </w:r>
      <w:r w:rsidRPr="00081C8F">
        <w:rPr>
          <w:rFonts w:ascii="Arial" w:eastAsia="Arial" w:hAnsi="Arial" w:cs="Arial"/>
          <w:sz w:val="24"/>
          <w:szCs w:val="24"/>
        </w:rPr>
        <w:t>c</w:t>
      </w:r>
      <w:r w:rsidRPr="00081C8F">
        <w:rPr>
          <w:rFonts w:ascii="Arial" w:eastAsia="Arial" w:hAnsi="Arial" w:cs="Arial"/>
          <w:color w:val="000000" w:themeColor="text1"/>
          <w:sz w:val="24"/>
          <w:szCs w:val="24"/>
        </w:rPr>
        <w:t xml:space="preserve">umplimiento del tratamiento, definido como </w:t>
      </w:r>
      <w:r w:rsidR="00C40182" w:rsidRPr="00081C8F">
        <w:rPr>
          <w:rFonts w:ascii="Arial" w:eastAsia="Arial" w:hAnsi="Arial" w:cs="Arial"/>
          <w:color w:val="000000" w:themeColor="text1"/>
          <w:sz w:val="24"/>
          <w:szCs w:val="24"/>
        </w:rPr>
        <w:t xml:space="preserve">la </w:t>
      </w:r>
      <w:r w:rsidR="00DB56D3" w:rsidRPr="00081C8F">
        <w:rPr>
          <w:rFonts w:ascii="Arial" w:eastAsia="Arial" w:hAnsi="Arial" w:cs="Arial"/>
          <w:color w:val="000000" w:themeColor="text1"/>
          <w:sz w:val="24"/>
          <w:szCs w:val="24"/>
        </w:rPr>
        <w:t xml:space="preserve">ingesta de </w:t>
      </w:r>
      <w:r w:rsidRPr="00081C8F">
        <w:rPr>
          <w:rFonts w:ascii="Arial" w:eastAsia="Arial" w:hAnsi="Arial" w:cs="Arial"/>
          <w:color w:val="000000" w:themeColor="text1"/>
          <w:sz w:val="24"/>
          <w:szCs w:val="24"/>
        </w:rPr>
        <w:t xml:space="preserve">al menos 80% de las dosis, evidenciado mediante documentación clínica, recuentos de píldoras, pruebas o dispositivos de monitoreo (5). </w:t>
      </w:r>
      <w:r w:rsidR="002B030F" w:rsidRPr="00081C8F">
        <w:rPr>
          <w:rFonts w:ascii="Arial" w:eastAsia="Arial" w:hAnsi="Arial" w:cs="Arial"/>
          <w:color w:val="000000" w:themeColor="text1"/>
          <w:sz w:val="24"/>
          <w:szCs w:val="24"/>
        </w:rPr>
        <w:t xml:space="preserve">Y </w:t>
      </w:r>
      <w:r w:rsidRPr="00081C8F">
        <w:rPr>
          <w:rFonts w:ascii="Arial" w:eastAsia="Arial" w:hAnsi="Arial" w:cs="Arial"/>
          <w:color w:val="000000" w:themeColor="text1"/>
          <w:sz w:val="24"/>
          <w:szCs w:val="24"/>
        </w:rPr>
        <w:t>hepatotoxicidad</w:t>
      </w:r>
      <w:r w:rsidR="00DB56D3" w:rsidRPr="00081C8F">
        <w:rPr>
          <w:rFonts w:ascii="Arial" w:eastAsia="Arial" w:hAnsi="Arial" w:cs="Arial"/>
          <w:color w:val="000000" w:themeColor="text1"/>
          <w:sz w:val="24"/>
          <w:szCs w:val="24"/>
        </w:rPr>
        <w:t xml:space="preserve"> </w:t>
      </w:r>
      <w:r w:rsidRPr="00081C8F">
        <w:rPr>
          <w:rFonts w:ascii="Arial" w:eastAsia="Arial" w:hAnsi="Arial" w:cs="Arial"/>
          <w:color w:val="000000" w:themeColor="text1"/>
          <w:sz w:val="24"/>
          <w:szCs w:val="24"/>
        </w:rPr>
        <w:t>clínicamente relevante, comúnmente conocida como Grado 3 (sin riesgo de muerte e indicación de hospitalización) o Grado 4 (riesgo de muerte y necesidad de intervención urgente) según los criterios terminológicos comunes para eventos adversos (CTCAE) (</w:t>
      </w:r>
      <w:r w:rsidR="004C2E5E" w:rsidRPr="00081C8F">
        <w:rPr>
          <w:rFonts w:ascii="Arial" w:eastAsia="Arial" w:hAnsi="Arial" w:cs="Arial"/>
          <w:color w:val="000000" w:themeColor="text1"/>
          <w:sz w:val="24"/>
          <w:szCs w:val="24"/>
        </w:rPr>
        <w:t>8</w:t>
      </w:r>
      <w:r w:rsidRPr="00081C8F">
        <w:rPr>
          <w:rFonts w:ascii="Arial" w:eastAsia="Arial" w:hAnsi="Arial" w:cs="Arial"/>
          <w:color w:val="000000" w:themeColor="text1"/>
          <w:sz w:val="24"/>
          <w:szCs w:val="24"/>
        </w:rPr>
        <w:t>), y medida hasta 60 días después de la última dosis de la combinación rifapentina/isoniazida o isoniazida sola.</w:t>
      </w:r>
      <w:r w:rsidRPr="005D3494">
        <w:rPr>
          <w:rFonts w:ascii="Arial" w:eastAsia="Arial" w:hAnsi="Arial" w:cs="Arial"/>
          <w:color w:val="000000" w:themeColor="text1"/>
          <w:sz w:val="24"/>
          <w:szCs w:val="24"/>
        </w:rPr>
        <w:t xml:space="preserve"> </w:t>
      </w:r>
    </w:p>
    <w:p w14:paraId="575F8AD0" w14:textId="662B94EB" w:rsidR="18D844C8" w:rsidRPr="005D3494" w:rsidRDefault="00720DAE" w:rsidP="005D3494">
      <w:pPr>
        <w:spacing w:after="0" w:line="360"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lang w:val="es-CO"/>
        </w:rPr>
        <w:t xml:space="preserve"> </w:t>
      </w:r>
    </w:p>
    <w:p w14:paraId="38365E03" w14:textId="23CE9DEC" w:rsidR="18D844C8" w:rsidRDefault="5141EA98" w:rsidP="002D2D64">
      <w:pPr>
        <w:pStyle w:val="Ttulo2"/>
        <w:spacing w:line="360" w:lineRule="auto"/>
      </w:pPr>
      <w:bookmarkStart w:id="7" w:name="_Toc85474269"/>
      <w:r w:rsidRPr="005D3494">
        <w:rPr>
          <w:lang w:val="es-CO"/>
        </w:rPr>
        <w:t>Métodos de búsqueda para la identificación de estudios</w:t>
      </w:r>
      <w:bookmarkEnd w:id="7"/>
      <w:r w:rsidRPr="005D3494">
        <w:t xml:space="preserve"> </w:t>
      </w:r>
    </w:p>
    <w:p w14:paraId="488D2E4A" w14:textId="77777777" w:rsidR="002D2D64" w:rsidRPr="002D2D64" w:rsidRDefault="002D2D64" w:rsidP="002D2D64"/>
    <w:p w14:paraId="17A3DF65" w14:textId="2AFF8000" w:rsidR="18D844C8" w:rsidRPr="00065D98" w:rsidRDefault="5141EA98" w:rsidP="002D2D64">
      <w:pPr>
        <w:spacing w:after="0" w:line="360" w:lineRule="auto"/>
        <w:ind w:firstLine="680"/>
        <w:jc w:val="both"/>
        <w:rPr>
          <w:rFonts w:ascii="Arial" w:eastAsia="Arial" w:hAnsi="Arial" w:cs="Arial"/>
          <w:color w:val="FF0000"/>
          <w:sz w:val="24"/>
          <w:szCs w:val="24"/>
        </w:rPr>
      </w:pPr>
      <w:r w:rsidRPr="005D3494">
        <w:rPr>
          <w:rFonts w:ascii="Arial" w:eastAsia="Arial" w:hAnsi="Arial" w:cs="Arial"/>
          <w:color w:val="000000" w:themeColor="text1"/>
          <w:sz w:val="24"/>
          <w:szCs w:val="24"/>
          <w:lang w:val="es-CO"/>
        </w:rPr>
        <w:t>Se identificaron todos los estudios relevantes, independientemente del idioma o el estado de publicación.</w:t>
      </w:r>
      <w:r w:rsidRPr="005D3494">
        <w:rPr>
          <w:rFonts w:ascii="Arial" w:eastAsia="Arial" w:hAnsi="Arial" w:cs="Arial"/>
          <w:color w:val="000000" w:themeColor="text1"/>
          <w:sz w:val="24"/>
          <w:szCs w:val="24"/>
        </w:rPr>
        <w:t xml:space="preserve"> </w:t>
      </w:r>
      <w:r w:rsidRPr="005D3494">
        <w:rPr>
          <w:rFonts w:ascii="Arial" w:eastAsia="Arial" w:hAnsi="Arial" w:cs="Arial"/>
          <w:color w:val="000000" w:themeColor="text1"/>
          <w:sz w:val="24"/>
          <w:szCs w:val="24"/>
          <w:lang w:val="es-CO"/>
        </w:rPr>
        <w:t>La búsqueda</w:t>
      </w:r>
      <w:r w:rsidR="00C40182">
        <w:rPr>
          <w:rFonts w:ascii="Arial" w:eastAsia="Arial" w:hAnsi="Arial" w:cs="Arial"/>
          <w:color w:val="000000" w:themeColor="text1"/>
          <w:sz w:val="24"/>
          <w:szCs w:val="24"/>
          <w:lang w:val="es-CO"/>
        </w:rPr>
        <w:t xml:space="preserve"> de literatura biomédica</w:t>
      </w:r>
      <w:r w:rsidRPr="005D3494">
        <w:rPr>
          <w:rFonts w:ascii="Arial" w:eastAsia="Arial" w:hAnsi="Arial" w:cs="Arial"/>
          <w:color w:val="000000" w:themeColor="text1"/>
          <w:sz w:val="24"/>
          <w:szCs w:val="24"/>
          <w:lang w:val="es-CO"/>
        </w:rPr>
        <w:t xml:space="preserve"> fue realizada por dos investigadores y un bibliotecólogo experimentado. Se desarrollaron estrategias de búsqueda exhaustiva de literatura hasta el 28 de febrero de 2021</w:t>
      </w:r>
      <w:r w:rsidR="00113748">
        <w:rPr>
          <w:rFonts w:ascii="Arial" w:eastAsia="Arial" w:hAnsi="Arial" w:cs="Arial"/>
          <w:color w:val="000000" w:themeColor="text1"/>
          <w:sz w:val="24"/>
          <w:szCs w:val="24"/>
          <w:lang w:val="es-CO"/>
        </w:rPr>
        <w:t xml:space="preserve"> (</w:t>
      </w:r>
      <w:r w:rsidR="00FC6611">
        <w:rPr>
          <w:rFonts w:ascii="Arial" w:eastAsia="Arial" w:hAnsi="Arial" w:cs="Arial"/>
          <w:color w:val="000000" w:themeColor="text1"/>
          <w:sz w:val="24"/>
          <w:szCs w:val="24"/>
          <w:lang w:val="es-CO"/>
        </w:rPr>
        <w:t>a</w:t>
      </w:r>
      <w:r w:rsidR="00113748">
        <w:rPr>
          <w:rFonts w:ascii="Arial" w:eastAsia="Arial" w:hAnsi="Arial" w:cs="Arial"/>
          <w:color w:val="000000" w:themeColor="text1"/>
          <w:sz w:val="24"/>
          <w:szCs w:val="24"/>
          <w:lang w:val="es-CO"/>
        </w:rPr>
        <w:t>ctualizada e</w:t>
      </w:r>
      <w:r w:rsidR="00A444E5">
        <w:rPr>
          <w:rFonts w:ascii="Arial" w:eastAsia="Arial" w:hAnsi="Arial" w:cs="Arial"/>
          <w:color w:val="000000" w:themeColor="text1"/>
          <w:sz w:val="24"/>
          <w:szCs w:val="24"/>
          <w:lang w:val="es-CO"/>
        </w:rPr>
        <w:t>l 19 de</w:t>
      </w:r>
      <w:r w:rsidR="00113748">
        <w:rPr>
          <w:rFonts w:ascii="Arial" w:eastAsia="Arial" w:hAnsi="Arial" w:cs="Arial"/>
          <w:color w:val="000000" w:themeColor="text1"/>
          <w:sz w:val="24"/>
          <w:szCs w:val="24"/>
          <w:lang w:val="es-CO"/>
        </w:rPr>
        <w:t xml:space="preserve"> abril de 2021)</w:t>
      </w:r>
      <w:r w:rsidRPr="005D3494">
        <w:rPr>
          <w:rFonts w:ascii="Arial" w:eastAsia="Arial" w:hAnsi="Arial" w:cs="Arial"/>
          <w:color w:val="000000" w:themeColor="text1"/>
          <w:sz w:val="24"/>
          <w:szCs w:val="24"/>
          <w:lang w:val="es-CO"/>
        </w:rPr>
        <w:t xml:space="preserve">, utilizando </w:t>
      </w:r>
      <w:r w:rsidR="00DB56D3">
        <w:rPr>
          <w:rFonts w:ascii="Arial" w:eastAsia="Arial" w:hAnsi="Arial" w:cs="Arial"/>
          <w:color w:val="000000" w:themeColor="text1"/>
          <w:sz w:val="24"/>
          <w:szCs w:val="24"/>
          <w:lang w:val="es-CO"/>
        </w:rPr>
        <w:t>términos controlados</w:t>
      </w:r>
      <w:r w:rsidRPr="005D3494">
        <w:rPr>
          <w:rFonts w:ascii="Arial" w:eastAsia="Arial" w:hAnsi="Arial" w:cs="Arial"/>
          <w:color w:val="000000" w:themeColor="text1"/>
          <w:sz w:val="24"/>
          <w:szCs w:val="24"/>
          <w:lang w:val="es-CO"/>
        </w:rPr>
        <w:t xml:space="preserve"> (MeSH</w:t>
      </w:r>
      <w:r w:rsidR="00DB56D3">
        <w:rPr>
          <w:rFonts w:ascii="Arial" w:eastAsia="Arial" w:hAnsi="Arial" w:cs="Arial"/>
          <w:color w:val="000000" w:themeColor="text1"/>
          <w:sz w:val="24"/>
          <w:szCs w:val="24"/>
          <w:lang w:val="es-CO"/>
        </w:rPr>
        <w:t xml:space="preserve"> y EMTREE</w:t>
      </w:r>
      <w:r w:rsidRPr="005D3494">
        <w:rPr>
          <w:rFonts w:ascii="Arial" w:eastAsia="Arial" w:hAnsi="Arial" w:cs="Arial"/>
          <w:color w:val="000000" w:themeColor="text1"/>
          <w:sz w:val="24"/>
          <w:szCs w:val="24"/>
          <w:lang w:val="es-CO"/>
        </w:rPr>
        <w:t xml:space="preserve">) y </w:t>
      </w:r>
      <w:r w:rsidR="00DB56D3">
        <w:rPr>
          <w:rFonts w:ascii="Arial" w:eastAsia="Arial" w:hAnsi="Arial" w:cs="Arial"/>
          <w:color w:val="000000" w:themeColor="text1"/>
          <w:sz w:val="24"/>
          <w:szCs w:val="24"/>
          <w:lang w:val="es-CO"/>
        </w:rPr>
        <w:t xml:space="preserve">como términos libres </w:t>
      </w:r>
      <w:r w:rsidRPr="005D3494">
        <w:rPr>
          <w:rFonts w:ascii="Arial" w:eastAsia="Arial" w:hAnsi="Arial" w:cs="Arial"/>
          <w:color w:val="000000" w:themeColor="text1"/>
          <w:sz w:val="24"/>
          <w:szCs w:val="24"/>
          <w:lang w:val="es-CO"/>
        </w:rPr>
        <w:t>palabras relacionadas con tuberculosis, rifapentina, isoniazida, inmunodepresión, VIH, trasplante de órganos, enfermedad renal y diabetes mellitus</w:t>
      </w:r>
      <w:r w:rsidR="00113748">
        <w:rPr>
          <w:rFonts w:ascii="Arial" w:eastAsia="Arial" w:hAnsi="Arial" w:cs="Arial"/>
          <w:color w:val="000000" w:themeColor="text1"/>
          <w:sz w:val="24"/>
          <w:szCs w:val="24"/>
          <w:lang w:val="es-CO"/>
        </w:rPr>
        <w:t xml:space="preserve"> en </w:t>
      </w:r>
      <w:r w:rsidR="00113748" w:rsidRPr="005D3494">
        <w:rPr>
          <w:rFonts w:ascii="Arial" w:eastAsia="Arial" w:hAnsi="Arial" w:cs="Arial"/>
          <w:color w:val="000000" w:themeColor="text1"/>
          <w:sz w:val="24"/>
          <w:szCs w:val="24"/>
          <w:lang w:val="es-CO"/>
        </w:rPr>
        <w:t xml:space="preserve">MEDLINE vía PubMed, </w:t>
      </w:r>
      <w:r w:rsidR="00113748" w:rsidRPr="00E24416">
        <w:rPr>
          <w:rFonts w:ascii="Arial" w:eastAsia="Arial" w:hAnsi="Arial" w:cs="Arial"/>
          <w:i/>
          <w:iCs/>
          <w:color w:val="000000" w:themeColor="text1"/>
          <w:sz w:val="24"/>
          <w:szCs w:val="24"/>
          <w:lang w:val="es-CO"/>
        </w:rPr>
        <w:t>Cochrane</w:t>
      </w:r>
      <w:r w:rsidR="00113748" w:rsidRPr="005D3494">
        <w:rPr>
          <w:rFonts w:ascii="Arial" w:eastAsia="Arial" w:hAnsi="Arial" w:cs="Arial"/>
          <w:color w:val="000000" w:themeColor="text1"/>
          <w:sz w:val="24"/>
          <w:szCs w:val="24"/>
          <w:lang w:val="es-CO"/>
        </w:rPr>
        <w:t xml:space="preserve"> (CENTRAL), EMBASE, LILACS,</w:t>
      </w:r>
      <w:r w:rsidR="00113748" w:rsidRPr="005D3494">
        <w:rPr>
          <w:rFonts w:ascii="Arial" w:eastAsia="Arial" w:hAnsi="Arial" w:cs="Arial"/>
          <w:sz w:val="24"/>
          <w:szCs w:val="24"/>
          <w:lang w:val="es-CO"/>
        </w:rPr>
        <w:t xml:space="preserve"> Scopus</w:t>
      </w:r>
      <w:r w:rsidR="00113748" w:rsidRPr="005D3494">
        <w:rPr>
          <w:rFonts w:ascii="Arial" w:eastAsia="Arial" w:hAnsi="Arial" w:cs="Arial"/>
          <w:color w:val="000000" w:themeColor="text1"/>
          <w:sz w:val="24"/>
          <w:szCs w:val="24"/>
          <w:lang w:val="es-CO"/>
        </w:rPr>
        <w:t xml:space="preserve"> y tres repositorios de literatura gris (OpenGrey, OpenAire, Lareferencia).</w:t>
      </w:r>
      <w:r w:rsidR="00113748" w:rsidRPr="00113748">
        <w:rPr>
          <w:rFonts w:ascii="Arial" w:eastAsia="Arial" w:hAnsi="Arial" w:cs="Arial"/>
          <w:color w:val="000000" w:themeColor="text1"/>
          <w:sz w:val="24"/>
          <w:szCs w:val="24"/>
          <w:lang w:val="es-CO"/>
        </w:rPr>
        <w:t xml:space="preserve"> </w:t>
      </w:r>
      <w:r w:rsidRPr="5141EA98">
        <w:rPr>
          <w:rFonts w:ascii="Arial" w:eastAsia="Arial" w:hAnsi="Arial" w:cs="Arial"/>
          <w:sz w:val="24"/>
          <w:szCs w:val="24"/>
          <w:lang w:val="es-CO"/>
        </w:rPr>
        <w:t>Las</w:t>
      </w:r>
      <w:r w:rsidRPr="5141EA98">
        <w:rPr>
          <w:rFonts w:ascii="Arial" w:eastAsia="Arial" w:hAnsi="Arial" w:cs="Arial"/>
          <w:color w:val="000000" w:themeColor="text1"/>
          <w:sz w:val="24"/>
          <w:szCs w:val="24"/>
          <w:lang w:val="es-CO"/>
        </w:rPr>
        <w:t xml:space="preserve"> estrategias de búsqueda se detallan e</w:t>
      </w:r>
      <w:r w:rsidRPr="005D3494">
        <w:rPr>
          <w:rFonts w:ascii="Arial" w:eastAsia="Arial" w:hAnsi="Arial" w:cs="Arial"/>
          <w:color w:val="000000" w:themeColor="text1"/>
          <w:sz w:val="24"/>
          <w:szCs w:val="24"/>
          <w:lang w:val="es-CO"/>
        </w:rPr>
        <w:t xml:space="preserve">n </w:t>
      </w:r>
      <w:r w:rsidRPr="009D1729">
        <w:rPr>
          <w:rFonts w:ascii="Arial" w:eastAsia="Arial" w:hAnsi="Arial" w:cs="Arial"/>
          <w:color w:val="000000" w:themeColor="text1"/>
          <w:sz w:val="24"/>
          <w:szCs w:val="24"/>
          <w:lang w:val="es-CO"/>
        </w:rPr>
        <w:t xml:space="preserve">la </w:t>
      </w:r>
      <w:r w:rsidRPr="000504A0">
        <w:rPr>
          <w:rFonts w:ascii="Arial" w:eastAsia="Arial" w:hAnsi="Arial" w:cs="Arial"/>
          <w:bCs/>
          <w:color w:val="000000" w:themeColor="text1"/>
          <w:sz w:val="24"/>
          <w:szCs w:val="24"/>
          <w:lang w:val="es-CO"/>
        </w:rPr>
        <w:t xml:space="preserve">tabla 2 </w:t>
      </w:r>
      <w:r w:rsidRPr="009D1729">
        <w:rPr>
          <w:rFonts w:ascii="Arial" w:eastAsia="Arial" w:hAnsi="Arial" w:cs="Arial"/>
          <w:color w:val="000000" w:themeColor="text1"/>
          <w:sz w:val="24"/>
          <w:szCs w:val="24"/>
          <w:lang w:val="es-CO"/>
        </w:rPr>
        <w:t>(</w:t>
      </w:r>
      <w:r w:rsidR="00113748">
        <w:rPr>
          <w:rFonts w:ascii="Arial" w:eastAsia="Arial" w:hAnsi="Arial" w:cs="Arial"/>
          <w:color w:val="000000" w:themeColor="text1"/>
          <w:sz w:val="24"/>
          <w:szCs w:val="24"/>
          <w:lang w:val="es-CO"/>
        </w:rPr>
        <w:t xml:space="preserve">Anexo </w:t>
      </w:r>
      <w:r w:rsidR="00987F44">
        <w:rPr>
          <w:rFonts w:ascii="Arial" w:eastAsia="Arial" w:hAnsi="Arial" w:cs="Arial"/>
          <w:color w:val="000000" w:themeColor="text1"/>
          <w:sz w:val="24"/>
          <w:szCs w:val="24"/>
          <w:lang w:val="es-CO"/>
        </w:rPr>
        <w:t>2</w:t>
      </w:r>
      <w:r w:rsidRPr="005D3494">
        <w:rPr>
          <w:rFonts w:ascii="Arial" w:eastAsia="Arial" w:hAnsi="Arial" w:cs="Arial"/>
          <w:color w:val="000000" w:themeColor="text1"/>
          <w:sz w:val="24"/>
          <w:szCs w:val="24"/>
          <w:lang w:val="es-CO"/>
        </w:rPr>
        <w:t>)</w:t>
      </w:r>
      <w:r w:rsidRPr="5141EA98">
        <w:rPr>
          <w:rFonts w:ascii="Arial" w:eastAsia="Arial" w:hAnsi="Arial" w:cs="Arial"/>
          <w:color w:val="000000" w:themeColor="text1"/>
          <w:sz w:val="24"/>
          <w:szCs w:val="24"/>
          <w:lang w:val="es-CO"/>
        </w:rPr>
        <w:t>.</w:t>
      </w:r>
      <w:r w:rsidR="00065D98">
        <w:rPr>
          <w:rFonts w:ascii="Arial" w:eastAsia="Arial" w:hAnsi="Arial" w:cs="Arial"/>
          <w:color w:val="000000" w:themeColor="text1"/>
          <w:sz w:val="24"/>
          <w:szCs w:val="24"/>
          <w:lang w:val="es-CO"/>
        </w:rPr>
        <w:t xml:space="preserve"> </w:t>
      </w:r>
      <w:r w:rsidR="00234783" w:rsidRPr="00081C8F">
        <w:rPr>
          <w:rFonts w:ascii="Arial" w:eastAsia="Arial" w:hAnsi="Arial" w:cs="Arial"/>
          <w:color w:val="000000" w:themeColor="text1"/>
          <w:sz w:val="24"/>
          <w:szCs w:val="24"/>
          <w:lang w:val="es-CO"/>
        </w:rPr>
        <w:t>También se realizó búsqueda en</w:t>
      </w:r>
      <w:r w:rsidR="00234783" w:rsidRPr="00081C8F">
        <w:t xml:space="preserve"> </w:t>
      </w:r>
      <w:r w:rsidR="00234783" w:rsidRPr="00081C8F">
        <w:rPr>
          <w:rFonts w:ascii="Arial" w:eastAsia="Arial" w:hAnsi="Arial" w:cs="Arial"/>
          <w:color w:val="000000" w:themeColor="text1"/>
          <w:sz w:val="24"/>
          <w:szCs w:val="24"/>
          <w:lang w:val="es-CO"/>
        </w:rPr>
        <w:t xml:space="preserve">ClinicalTrials.gov y el </w:t>
      </w:r>
      <w:r w:rsidR="00AE0183" w:rsidRPr="00081C8F">
        <w:rPr>
          <w:rFonts w:ascii="Arial" w:eastAsia="Arial" w:hAnsi="Arial" w:cs="Arial"/>
          <w:color w:val="000000" w:themeColor="text1"/>
          <w:sz w:val="24"/>
          <w:szCs w:val="24"/>
          <w:lang w:val="es-CO"/>
        </w:rPr>
        <w:t>p</w:t>
      </w:r>
      <w:r w:rsidR="00234783" w:rsidRPr="00081C8F">
        <w:rPr>
          <w:rFonts w:ascii="Arial" w:eastAsia="Arial" w:hAnsi="Arial" w:cs="Arial"/>
          <w:color w:val="000000" w:themeColor="text1"/>
          <w:sz w:val="24"/>
          <w:szCs w:val="24"/>
          <w:lang w:val="es-CO"/>
        </w:rPr>
        <w:t xml:space="preserve">ortal de búsqueda de la plataforma de registros de ensayos clínicos internacionales de la OMS, sin hallar estudios adicionales. </w:t>
      </w:r>
      <w:r w:rsidR="00D53795" w:rsidRPr="00081C8F">
        <w:rPr>
          <w:rFonts w:ascii="Arial" w:eastAsia="Arial" w:hAnsi="Arial" w:cs="Arial"/>
          <w:color w:val="000000" w:themeColor="text1"/>
          <w:sz w:val="24"/>
          <w:szCs w:val="24"/>
          <w:lang w:val="es-CO"/>
        </w:rPr>
        <w:t>Tampoco se encontraron en la búsqueda manual o en bola de nieve (a través de las referencias de los estudios relevantes) y revisión de presentaciones de congresos</w:t>
      </w:r>
      <w:r w:rsidR="00234783" w:rsidRPr="00081C8F">
        <w:rPr>
          <w:rFonts w:ascii="Arial" w:eastAsia="Arial" w:hAnsi="Arial" w:cs="Arial"/>
          <w:color w:val="000000" w:themeColor="text1"/>
          <w:sz w:val="24"/>
          <w:szCs w:val="24"/>
          <w:lang w:val="es-CO"/>
        </w:rPr>
        <w:t xml:space="preserve"> </w:t>
      </w:r>
      <w:r w:rsidR="00D53795" w:rsidRPr="00081C8F">
        <w:rPr>
          <w:rFonts w:ascii="Arial" w:eastAsia="Arial" w:hAnsi="Arial" w:cs="Arial"/>
          <w:color w:val="000000" w:themeColor="text1"/>
          <w:sz w:val="24"/>
          <w:szCs w:val="24"/>
          <w:lang w:val="es-CO"/>
        </w:rPr>
        <w:t>de la temática.</w:t>
      </w:r>
    </w:p>
    <w:p w14:paraId="608A0663" w14:textId="3F12AB14" w:rsidR="5141EA98" w:rsidRPr="005D3494" w:rsidRDefault="5141EA98" w:rsidP="5141EA98">
      <w:pPr>
        <w:spacing w:after="0" w:line="360" w:lineRule="auto"/>
        <w:jc w:val="both"/>
        <w:rPr>
          <w:rFonts w:ascii="Arial" w:eastAsia="Arial" w:hAnsi="Arial" w:cs="Arial"/>
          <w:color w:val="000000" w:themeColor="text1"/>
          <w:sz w:val="24"/>
          <w:szCs w:val="24"/>
          <w:lang w:val="es-CO"/>
        </w:rPr>
      </w:pPr>
    </w:p>
    <w:p w14:paraId="511DC4BE" w14:textId="2A448352" w:rsidR="18D844C8" w:rsidRDefault="5141EA98" w:rsidP="002D2D64">
      <w:pPr>
        <w:pStyle w:val="Ttulo2"/>
        <w:spacing w:line="240" w:lineRule="auto"/>
        <w:rPr>
          <w:lang w:val="es-CO"/>
        </w:rPr>
      </w:pPr>
      <w:bookmarkStart w:id="8" w:name="_Toc85474270"/>
      <w:r w:rsidRPr="005D3494">
        <w:rPr>
          <w:lang w:val="es-CO"/>
        </w:rPr>
        <w:lastRenderedPageBreak/>
        <w:t>Selección de estudios</w:t>
      </w:r>
      <w:bookmarkEnd w:id="8"/>
      <w:r w:rsidRPr="005D3494">
        <w:rPr>
          <w:lang w:val="es-CO"/>
        </w:rPr>
        <w:t xml:space="preserve"> </w:t>
      </w:r>
    </w:p>
    <w:p w14:paraId="216EBC0E" w14:textId="77777777" w:rsidR="002D2D64" w:rsidRPr="002D2D64" w:rsidRDefault="002D2D64" w:rsidP="002D2D64">
      <w:pPr>
        <w:rPr>
          <w:lang w:val="es-CO"/>
        </w:rPr>
      </w:pPr>
    </w:p>
    <w:p w14:paraId="6C48916E" w14:textId="626AA59D" w:rsidR="18D844C8"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lang w:val="es-CO"/>
        </w:rPr>
        <w:t>La primera fase de la selección de estudios se realizó a través de la lectura de los títulos y resúmenes, posteriormente los estudios elegidos se examinaron en una segunda fase a través de la lectura de textos completos, seleccionando los que cumplían los criterios de inclusión. Ambas fases se realizaron de forma independiente y por duplicado por dos revisores, empleando la plataforma Rayyan QCRI</w:t>
      </w:r>
      <w:r w:rsidR="00113748">
        <w:rPr>
          <w:rFonts w:ascii="Arial" w:eastAsia="Arial" w:hAnsi="Arial" w:cs="Arial"/>
          <w:color w:val="000000" w:themeColor="text1"/>
          <w:sz w:val="24"/>
          <w:szCs w:val="24"/>
          <w:lang w:val="es-CO"/>
        </w:rPr>
        <w:t xml:space="preserve"> (</w:t>
      </w:r>
      <w:r w:rsidR="00A50E6C" w:rsidRPr="00A50E6C">
        <w:rPr>
          <w:rFonts w:ascii="Arial" w:eastAsia="Arial" w:hAnsi="Arial" w:cs="Arial"/>
          <w:color w:val="000000" w:themeColor="text1"/>
          <w:sz w:val="24"/>
          <w:szCs w:val="24"/>
          <w:lang w:val="es-CO"/>
        </w:rPr>
        <w:t>http://rayyan.qcri.org</w:t>
      </w:r>
      <w:r w:rsidR="00113748">
        <w:rPr>
          <w:rFonts w:ascii="Arial" w:eastAsia="Arial" w:hAnsi="Arial" w:cs="Arial"/>
          <w:color w:val="000000" w:themeColor="text1"/>
          <w:sz w:val="24"/>
          <w:szCs w:val="24"/>
          <w:lang w:val="es-CO"/>
        </w:rPr>
        <w:t>)</w:t>
      </w:r>
      <w:r w:rsidR="00A50E6C">
        <w:rPr>
          <w:rFonts w:ascii="Arial" w:eastAsia="Arial" w:hAnsi="Arial" w:cs="Arial"/>
          <w:color w:val="000000" w:themeColor="text1"/>
          <w:sz w:val="24"/>
          <w:szCs w:val="24"/>
          <w:lang w:val="es-CO"/>
        </w:rPr>
        <w:t xml:space="preserve"> (9)</w:t>
      </w:r>
      <w:r w:rsidRPr="005D3494">
        <w:rPr>
          <w:rFonts w:ascii="Arial" w:eastAsia="Arial" w:hAnsi="Arial" w:cs="Arial"/>
          <w:color w:val="000000" w:themeColor="text1"/>
          <w:sz w:val="24"/>
          <w:szCs w:val="24"/>
          <w:lang w:val="es-CO"/>
        </w:rPr>
        <w:t>.</w:t>
      </w:r>
      <w:r w:rsidR="00720DAE">
        <w:rPr>
          <w:rFonts w:ascii="Arial" w:eastAsia="Arial" w:hAnsi="Arial" w:cs="Arial"/>
          <w:color w:val="000000" w:themeColor="text1"/>
          <w:sz w:val="24"/>
          <w:szCs w:val="24"/>
          <w:lang w:val="es-CO"/>
        </w:rPr>
        <w:t xml:space="preserve"> </w:t>
      </w:r>
      <w:r w:rsidR="00DE5D9B" w:rsidRPr="005D3494">
        <w:rPr>
          <w:rFonts w:ascii="Arial" w:eastAsia="Arial" w:hAnsi="Arial" w:cs="Arial"/>
          <w:color w:val="000000" w:themeColor="text1"/>
          <w:sz w:val="24"/>
          <w:szCs w:val="24"/>
          <w:lang w:val="es-CO"/>
        </w:rPr>
        <w:t>Solo los artículos que ambos revisores consideraron elegibles en la primera fase se obtuvieron en texto completo</w:t>
      </w:r>
      <w:r w:rsidR="00113748">
        <w:rPr>
          <w:rFonts w:ascii="Arial" w:eastAsia="Arial" w:hAnsi="Arial" w:cs="Arial"/>
          <w:color w:val="000000" w:themeColor="text1"/>
          <w:sz w:val="24"/>
          <w:szCs w:val="24"/>
          <w:lang w:val="es-CO"/>
        </w:rPr>
        <w:t>, y solo los que se consideraron elegibles por los dos evaluadores, en la segunda fase</w:t>
      </w:r>
      <w:r w:rsidR="00A444E5">
        <w:rPr>
          <w:rFonts w:ascii="Arial" w:eastAsia="Arial" w:hAnsi="Arial" w:cs="Arial"/>
          <w:color w:val="000000" w:themeColor="text1"/>
          <w:sz w:val="24"/>
          <w:szCs w:val="24"/>
          <w:lang w:val="es-CO"/>
        </w:rPr>
        <w:t>,</w:t>
      </w:r>
      <w:r w:rsidR="00113748">
        <w:rPr>
          <w:rFonts w:ascii="Arial" w:eastAsia="Arial" w:hAnsi="Arial" w:cs="Arial"/>
          <w:color w:val="000000" w:themeColor="text1"/>
          <w:sz w:val="24"/>
          <w:szCs w:val="24"/>
          <w:lang w:val="es-CO"/>
        </w:rPr>
        <w:t xml:space="preserve"> fueron incluidos. </w:t>
      </w:r>
      <w:r w:rsidRPr="005D3494">
        <w:rPr>
          <w:rFonts w:ascii="Arial" w:eastAsia="Arial" w:hAnsi="Arial" w:cs="Arial"/>
          <w:color w:val="000000" w:themeColor="text1"/>
          <w:sz w:val="24"/>
          <w:szCs w:val="24"/>
          <w:lang w:val="es-CO"/>
        </w:rPr>
        <w:t xml:space="preserve">Los desacuerdos se resolvieron por consenso </w:t>
      </w:r>
      <w:r w:rsidR="00DE5D9B">
        <w:rPr>
          <w:rFonts w:ascii="Arial" w:eastAsia="Arial" w:hAnsi="Arial" w:cs="Arial"/>
          <w:color w:val="000000" w:themeColor="text1"/>
          <w:sz w:val="24"/>
          <w:szCs w:val="24"/>
          <w:lang w:val="es-CO"/>
        </w:rPr>
        <w:t xml:space="preserve">entre dos </w:t>
      </w:r>
      <w:r w:rsidRPr="005D3494">
        <w:rPr>
          <w:rFonts w:ascii="Arial" w:eastAsia="Arial" w:hAnsi="Arial" w:cs="Arial"/>
          <w:color w:val="000000" w:themeColor="text1"/>
          <w:sz w:val="24"/>
          <w:szCs w:val="24"/>
          <w:lang w:val="es-CO"/>
        </w:rPr>
        <w:t>y discusión con un tercer investigador</w:t>
      </w:r>
      <w:r w:rsidR="00DE5D9B">
        <w:rPr>
          <w:rFonts w:ascii="Arial" w:eastAsia="Arial" w:hAnsi="Arial" w:cs="Arial"/>
          <w:color w:val="000000" w:themeColor="text1"/>
          <w:sz w:val="24"/>
          <w:szCs w:val="24"/>
          <w:lang w:val="es-CO"/>
        </w:rPr>
        <w:t xml:space="preserve"> para resolver discrepancias</w:t>
      </w:r>
      <w:r w:rsidRPr="005D3494">
        <w:rPr>
          <w:rFonts w:ascii="Arial" w:eastAsia="Arial" w:hAnsi="Arial" w:cs="Arial"/>
          <w:color w:val="000000" w:themeColor="text1"/>
          <w:sz w:val="24"/>
          <w:szCs w:val="24"/>
          <w:lang w:val="es-CO"/>
        </w:rPr>
        <w:t>. Cuando existían varias publicaciones de un mismo estudio, solo se utilizó la publicación con los datos más completos.</w:t>
      </w:r>
      <w:r w:rsidRPr="005D3494">
        <w:rPr>
          <w:rFonts w:ascii="Arial" w:eastAsia="Arial" w:hAnsi="Arial" w:cs="Arial"/>
          <w:color w:val="000000" w:themeColor="text1"/>
          <w:sz w:val="24"/>
          <w:szCs w:val="24"/>
        </w:rPr>
        <w:t xml:space="preserve"> </w:t>
      </w:r>
    </w:p>
    <w:p w14:paraId="2BEAB1A7" w14:textId="276EA985" w:rsidR="18D844C8" w:rsidRPr="005D3494" w:rsidRDefault="18D844C8" w:rsidP="002D2D64">
      <w:pPr>
        <w:spacing w:after="0" w:line="360" w:lineRule="auto"/>
        <w:ind w:firstLine="680"/>
        <w:jc w:val="both"/>
        <w:rPr>
          <w:rFonts w:ascii="Arial" w:eastAsia="Arial" w:hAnsi="Arial" w:cs="Arial"/>
          <w:sz w:val="24"/>
          <w:szCs w:val="24"/>
        </w:rPr>
      </w:pPr>
    </w:p>
    <w:p w14:paraId="0310CF7A" w14:textId="3BF1EF47" w:rsidR="18D844C8" w:rsidRDefault="5141EA98" w:rsidP="00720DAE">
      <w:pPr>
        <w:pStyle w:val="Ttulo2"/>
        <w:rPr>
          <w:lang w:val="es-CO"/>
        </w:rPr>
      </w:pPr>
      <w:bookmarkStart w:id="9" w:name="_Toc85474271"/>
      <w:r w:rsidRPr="005D3494">
        <w:rPr>
          <w:lang w:val="es-CO"/>
        </w:rPr>
        <w:t>Extracción de datos</w:t>
      </w:r>
      <w:bookmarkEnd w:id="9"/>
    </w:p>
    <w:p w14:paraId="4B7554E7" w14:textId="77777777" w:rsidR="002D2D64" w:rsidRPr="002D2D64" w:rsidRDefault="002D2D64" w:rsidP="002D2D64">
      <w:pPr>
        <w:rPr>
          <w:lang w:val="es-CO"/>
        </w:rPr>
      </w:pPr>
    </w:p>
    <w:p w14:paraId="204C1EFA" w14:textId="5F4DAB5F" w:rsidR="18D844C8" w:rsidRPr="00DD34A0" w:rsidRDefault="5141EA98" w:rsidP="002D2D64">
      <w:pPr>
        <w:spacing w:after="0" w:line="360" w:lineRule="auto"/>
        <w:ind w:firstLine="680"/>
        <w:jc w:val="both"/>
        <w:rPr>
          <w:rFonts w:ascii="Arial" w:eastAsia="Arial" w:hAnsi="Arial" w:cs="Arial"/>
          <w:color w:val="FF0000"/>
          <w:sz w:val="24"/>
          <w:szCs w:val="24"/>
          <w:lang w:val="es-CO"/>
        </w:rPr>
      </w:pPr>
      <w:r w:rsidRPr="005D3494">
        <w:rPr>
          <w:rFonts w:ascii="Arial" w:eastAsia="Arial" w:hAnsi="Arial" w:cs="Arial"/>
          <w:color w:val="000000" w:themeColor="text1"/>
          <w:sz w:val="24"/>
          <w:szCs w:val="24"/>
          <w:lang w:val="es-CO"/>
        </w:rPr>
        <w:t xml:space="preserve">Se construyeron formularios </w:t>
      </w:r>
      <w:r w:rsidR="00DE5D9B">
        <w:rPr>
          <w:rFonts w:ascii="Arial" w:eastAsia="Arial" w:hAnsi="Arial" w:cs="Arial"/>
          <w:color w:val="000000" w:themeColor="text1"/>
          <w:sz w:val="24"/>
          <w:szCs w:val="24"/>
          <w:lang w:val="es-CO"/>
        </w:rPr>
        <w:t>para</w:t>
      </w:r>
      <w:r w:rsidRPr="005D3494">
        <w:rPr>
          <w:rFonts w:ascii="Arial" w:eastAsia="Arial" w:hAnsi="Arial" w:cs="Arial"/>
          <w:color w:val="000000" w:themeColor="text1"/>
          <w:sz w:val="24"/>
          <w:szCs w:val="24"/>
          <w:lang w:val="es-CO"/>
        </w:rPr>
        <w:t xml:space="preserve"> extracción de datos compuestos por 4 dominios: información general</w:t>
      </w:r>
      <w:r w:rsidR="00B548E6">
        <w:rPr>
          <w:rFonts w:ascii="Arial" w:eastAsia="Arial" w:hAnsi="Arial" w:cs="Arial"/>
          <w:color w:val="000000" w:themeColor="text1"/>
          <w:sz w:val="24"/>
          <w:szCs w:val="24"/>
          <w:lang w:val="es-CO"/>
        </w:rPr>
        <w:t xml:space="preserve"> (</w:t>
      </w:r>
      <w:r w:rsidR="00B548E6" w:rsidRPr="00B548E6">
        <w:rPr>
          <w:rFonts w:ascii="Arial" w:eastAsia="Arial" w:hAnsi="Arial" w:cs="Arial"/>
          <w:color w:val="000000" w:themeColor="text1"/>
          <w:sz w:val="24"/>
          <w:szCs w:val="24"/>
          <w:lang w:val="es-CO"/>
        </w:rPr>
        <w:t xml:space="preserve">primer autor, correo electrónico, fecha de publicación, </w:t>
      </w:r>
      <w:r w:rsidR="00B548E6">
        <w:rPr>
          <w:rFonts w:ascii="Arial" w:eastAsia="Arial" w:hAnsi="Arial" w:cs="Arial"/>
          <w:color w:val="000000" w:themeColor="text1"/>
          <w:sz w:val="24"/>
          <w:szCs w:val="24"/>
          <w:lang w:val="es-CO"/>
        </w:rPr>
        <w:t xml:space="preserve">país, </w:t>
      </w:r>
      <w:r w:rsidR="00B548E6" w:rsidRPr="00B548E6">
        <w:rPr>
          <w:rFonts w:ascii="Arial" w:eastAsia="Arial" w:hAnsi="Arial" w:cs="Arial"/>
          <w:color w:val="000000" w:themeColor="text1"/>
          <w:sz w:val="24"/>
          <w:szCs w:val="24"/>
          <w:lang w:val="es-CO"/>
        </w:rPr>
        <w:t>revista</w:t>
      </w:r>
      <w:r w:rsidR="00B548E6">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características del estudio</w:t>
      </w:r>
      <w:r w:rsidR="00B548E6">
        <w:rPr>
          <w:rFonts w:ascii="Arial" w:eastAsia="Arial" w:hAnsi="Arial" w:cs="Arial"/>
          <w:color w:val="000000" w:themeColor="text1"/>
          <w:sz w:val="24"/>
          <w:szCs w:val="24"/>
          <w:lang w:val="es-CO"/>
        </w:rPr>
        <w:t xml:space="preserve"> (diseño, número de participantes total y por grupo, tiempo de seguimiento,</w:t>
      </w:r>
      <w:r w:rsidR="00332BCF">
        <w:rPr>
          <w:rFonts w:ascii="Arial" w:eastAsia="Arial" w:hAnsi="Arial" w:cs="Arial"/>
          <w:color w:val="000000" w:themeColor="text1"/>
          <w:sz w:val="24"/>
          <w:szCs w:val="24"/>
          <w:lang w:val="es-CO"/>
        </w:rPr>
        <w:t xml:space="preserve"> dosis y duración de las alternativas, tipo de administración, prueba diagnóstica de ILTB)</w:t>
      </w:r>
      <w:r w:rsidRPr="005D3494">
        <w:rPr>
          <w:rFonts w:ascii="Arial" w:eastAsia="Arial" w:hAnsi="Arial" w:cs="Arial"/>
          <w:color w:val="000000" w:themeColor="text1"/>
          <w:sz w:val="24"/>
          <w:szCs w:val="24"/>
          <w:lang w:val="es-CO"/>
        </w:rPr>
        <w:t>, características de los participantes</w:t>
      </w:r>
      <w:r w:rsidR="00332BCF">
        <w:rPr>
          <w:rFonts w:ascii="Arial" w:eastAsia="Arial" w:hAnsi="Arial" w:cs="Arial"/>
          <w:color w:val="000000" w:themeColor="text1"/>
          <w:sz w:val="24"/>
          <w:szCs w:val="24"/>
          <w:lang w:val="es-CO"/>
        </w:rPr>
        <w:t xml:space="preserve"> (edad, sexo</w:t>
      </w:r>
      <w:r w:rsidR="00113748">
        <w:rPr>
          <w:rFonts w:ascii="Arial" w:eastAsia="Arial" w:hAnsi="Arial" w:cs="Arial"/>
          <w:color w:val="000000" w:themeColor="text1"/>
          <w:sz w:val="24"/>
          <w:szCs w:val="24"/>
          <w:lang w:val="es-CO"/>
        </w:rPr>
        <w:t>,</w:t>
      </w:r>
      <w:r w:rsidR="00332BCF">
        <w:rPr>
          <w:rFonts w:ascii="Arial" w:eastAsia="Arial" w:hAnsi="Arial" w:cs="Arial"/>
          <w:color w:val="000000" w:themeColor="text1"/>
          <w:sz w:val="24"/>
          <w:szCs w:val="24"/>
          <w:lang w:val="es-CO"/>
        </w:rPr>
        <w:t xml:space="preserve"> causa de inmunodepresión, uso de terapia antirretroviral u otras,</w:t>
      </w:r>
      <w:r w:rsidR="00720DAE">
        <w:rPr>
          <w:rFonts w:ascii="Arial" w:eastAsia="Arial" w:hAnsi="Arial" w:cs="Arial"/>
          <w:color w:val="000000" w:themeColor="text1"/>
          <w:sz w:val="24"/>
          <w:szCs w:val="24"/>
          <w:lang w:val="es-CO"/>
        </w:rPr>
        <w:t xml:space="preserve"> </w:t>
      </w:r>
      <w:r w:rsidR="00332BCF">
        <w:rPr>
          <w:rFonts w:ascii="Arial" w:eastAsia="Arial" w:hAnsi="Arial" w:cs="Arial"/>
          <w:color w:val="000000" w:themeColor="text1"/>
          <w:sz w:val="24"/>
          <w:szCs w:val="24"/>
          <w:lang w:val="es-CO"/>
        </w:rPr>
        <w:t xml:space="preserve">conteo linfocitos TCD4, tipo de órgano trasplantado) </w:t>
      </w:r>
      <w:r w:rsidR="00332BCF" w:rsidRPr="00081C8F">
        <w:rPr>
          <w:rFonts w:ascii="Arial" w:eastAsia="Arial" w:hAnsi="Arial" w:cs="Arial"/>
          <w:color w:val="000000" w:themeColor="text1"/>
          <w:sz w:val="24"/>
          <w:szCs w:val="24"/>
          <w:lang w:val="es-CO"/>
        </w:rPr>
        <w:t xml:space="preserve">y para el dominio </w:t>
      </w:r>
      <w:r w:rsidR="00113748" w:rsidRPr="00081C8F">
        <w:rPr>
          <w:rFonts w:ascii="Arial" w:eastAsia="Arial" w:hAnsi="Arial" w:cs="Arial"/>
          <w:color w:val="000000" w:themeColor="text1"/>
          <w:sz w:val="24"/>
          <w:szCs w:val="24"/>
          <w:lang w:val="es-CO"/>
        </w:rPr>
        <w:t>desenlaces</w:t>
      </w:r>
      <w:r w:rsidR="00332BCF" w:rsidRPr="00081C8F">
        <w:rPr>
          <w:rFonts w:ascii="Arial" w:eastAsia="Arial" w:hAnsi="Arial" w:cs="Arial"/>
          <w:color w:val="000000" w:themeColor="text1"/>
          <w:sz w:val="24"/>
          <w:szCs w:val="24"/>
          <w:lang w:val="es-CO"/>
        </w:rPr>
        <w:t xml:space="preserve"> se</w:t>
      </w:r>
      <w:r w:rsidR="00720DAE" w:rsidRPr="00081C8F">
        <w:rPr>
          <w:rFonts w:ascii="Arial" w:eastAsia="Arial" w:hAnsi="Arial" w:cs="Arial"/>
          <w:color w:val="000000" w:themeColor="text1"/>
          <w:sz w:val="24"/>
          <w:szCs w:val="24"/>
          <w:lang w:val="es-CO"/>
        </w:rPr>
        <w:t xml:space="preserve"> </w:t>
      </w:r>
      <w:r w:rsidR="00332BCF" w:rsidRPr="00081C8F">
        <w:rPr>
          <w:rFonts w:ascii="Arial" w:eastAsia="Arial" w:hAnsi="Arial" w:cs="Arial"/>
          <w:sz w:val="24"/>
          <w:szCs w:val="24"/>
          <w:lang w:val="es-CO"/>
        </w:rPr>
        <w:t xml:space="preserve">extrajeron los números de eventos según los resultados de interés para cada grupo (intervención, comparador) y el total de participantes por grupo en un formulario diseñado usando el software Microsoft Excel 2019. </w:t>
      </w:r>
      <w:r w:rsidR="00DE5D9B" w:rsidRPr="00081C8F">
        <w:rPr>
          <w:rFonts w:ascii="Arial" w:eastAsia="Arial" w:hAnsi="Arial" w:cs="Arial"/>
          <w:color w:val="000000" w:themeColor="text1"/>
          <w:sz w:val="24"/>
          <w:szCs w:val="24"/>
          <w:lang w:val="es-CO"/>
        </w:rPr>
        <w:t>Estos formularios</w:t>
      </w:r>
      <w:r w:rsidRPr="00081C8F">
        <w:rPr>
          <w:rFonts w:ascii="Arial" w:eastAsia="Arial" w:hAnsi="Arial" w:cs="Arial"/>
          <w:color w:val="000000" w:themeColor="text1"/>
          <w:sz w:val="24"/>
          <w:szCs w:val="24"/>
          <w:lang w:val="es-CO"/>
        </w:rPr>
        <w:t xml:space="preserve"> fueron aplicados en una prueba piloto para evaluar su desempeño y luego fueron afinados. Consecutivamente los datos fueron extraídos por dos revisores, de forma independiente y por duplicado. Los desacuerdos se resolvieron por consenso y discusión con un tercer</w:t>
      </w:r>
      <w:r w:rsidR="000504A0" w:rsidRPr="00081C8F">
        <w:rPr>
          <w:rFonts w:ascii="Arial" w:eastAsia="Arial" w:hAnsi="Arial" w:cs="Arial"/>
          <w:color w:val="000000" w:themeColor="text1"/>
          <w:sz w:val="24"/>
          <w:szCs w:val="24"/>
          <w:lang w:val="es-CO"/>
        </w:rPr>
        <w:t xml:space="preserve"> </w:t>
      </w:r>
      <w:r w:rsidR="002C7863" w:rsidRPr="00081C8F">
        <w:rPr>
          <w:rFonts w:ascii="Arial" w:eastAsia="Arial" w:hAnsi="Arial" w:cs="Arial"/>
          <w:color w:val="000000" w:themeColor="text1"/>
          <w:sz w:val="24"/>
          <w:szCs w:val="24"/>
          <w:lang w:val="es-CO"/>
        </w:rPr>
        <w:t>evaluador cuando fue necesario</w:t>
      </w:r>
      <w:r w:rsidR="000504A0" w:rsidRPr="00081C8F">
        <w:rPr>
          <w:rFonts w:ascii="Arial" w:eastAsia="Arial" w:hAnsi="Arial" w:cs="Arial"/>
          <w:color w:val="000000" w:themeColor="text1"/>
          <w:sz w:val="24"/>
          <w:szCs w:val="24"/>
          <w:lang w:val="es-CO"/>
        </w:rPr>
        <w:t>.</w:t>
      </w:r>
      <w:r w:rsidRPr="00081C8F">
        <w:rPr>
          <w:rFonts w:ascii="Arial" w:eastAsia="Arial" w:hAnsi="Arial" w:cs="Arial"/>
          <w:color w:val="000000" w:themeColor="text1"/>
          <w:sz w:val="24"/>
          <w:szCs w:val="24"/>
          <w:lang w:val="es-CO"/>
        </w:rPr>
        <w:t xml:space="preserve"> </w:t>
      </w:r>
      <w:r w:rsidR="00332BCF" w:rsidRPr="00081C8F">
        <w:rPr>
          <w:rFonts w:ascii="Arial" w:eastAsia="Arial" w:hAnsi="Arial" w:cs="Arial"/>
          <w:sz w:val="24"/>
          <w:szCs w:val="24"/>
          <w:lang w:val="es-CO"/>
        </w:rPr>
        <w:t>Es importante mencionar que se obtuv</w:t>
      </w:r>
      <w:r w:rsidR="00B26EFF" w:rsidRPr="00081C8F">
        <w:rPr>
          <w:rFonts w:ascii="Arial" w:eastAsia="Arial" w:hAnsi="Arial" w:cs="Arial"/>
          <w:sz w:val="24"/>
          <w:szCs w:val="24"/>
          <w:lang w:val="es-CO"/>
        </w:rPr>
        <w:t>o</w:t>
      </w:r>
      <w:r w:rsidR="00332BCF" w:rsidRPr="00081C8F">
        <w:rPr>
          <w:rFonts w:ascii="Arial" w:eastAsia="Arial" w:hAnsi="Arial" w:cs="Arial"/>
          <w:sz w:val="24"/>
          <w:szCs w:val="24"/>
          <w:lang w:val="es-CO"/>
        </w:rPr>
        <w:t xml:space="preserve"> información detallada de los desenlaces de interés de</w:t>
      </w:r>
      <w:r w:rsidR="005A473F" w:rsidRPr="00081C8F">
        <w:rPr>
          <w:rFonts w:ascii="Arial" w:eastAsia="Arial" w:hAnsi="Arial" w:cs="Arial"/>
          <w:sz w:val="24"/>
          <w:szCs w:val="24"/>
          <w:lang w:val="es-CO"/>
        </w:rPr>
        <w:t>l</w:t>
      </w:r>
      <w:r w:rsidR="00332BCF" w:rsidRPr="00081C8F">
        <w:rPr>
          <w:rFonts w:ascii="Arial" w:eastAsia="Arial" w:hAnsi="Arial" w:cs="Arial"/>
          <w:sz w:val="24"/>
          <w:szCs w:val="24"/>
          <w:lang w:val="es-CO"/>
        </w:rPr>
        <w:t xml:space="preserve"> ECA </w:t>
      </w:r>
      <w:r w:rsidR="00D53795" w:rsidRPr="00081C8F">
        <w:rPr>
          <w:rFonts w:ascii="Arial" w:eastAsia="Arial" w:hAnsi="Arial" w:cs="Arial"/>
          <w:i/>
          <w:iCs/>
          <w:color w:val="000000" w:themeColor="text1"/>
          <w:sz w:val="24"/>
          <w:szCs w:val="24"/>
          <w:lang w:val="es-CO"/>
        </w:rPr>
        <w:lastRenderedPageBreak/>
        <w:t>One Month of Rifapentine plus Isoniazid to Prevent HIV-Related Tuberculosis</w:t>
      </w:r>
      <w:r w:rsidR="005A473F" w:rsidRPr="00081C8F">
        <w:rPr>
          <w:rFonts w:ascii="Arial" w:eastAsia="Arial" w:hAnsi="Arial" w:cs="Arial"/>
          <w:sz w:val="24"/>
          <w:szCs w:val="24"/>
          <w:lang w:val="es-CO"/>
        </w:rPr>
        <w:t xml:space="preserve"> (10)</w:t>
      </w:r>
      <w:r w:rsidR="00D53795" w:rsidRPr="00081C8F">
        <w:rPr>
          <w:rFonts w:ascii="Arial" w:eastAsia="Arial" w:hAnsi="Arial" w:cs="Arial"/>
          <w:sz w:val="24"/>
          <w:szCs w:val="24"/>
          <w:lang w:val="es-CO"/>
        </w:rPr>
        <w:t xml:space="preserve"> </w:t>
      </w:r>
      <w:r w:rsidR="00332BCF" w:rsidRPr="00081C8F">
        <w:rPr>
          <w:rFonts w:ascii="Arial" w:eastAsia="Arial" w:hAnsi="Arial" w:cs="Arial"/>
          <w:sz w:val="24"/>
          <w:szCs w:val="24"/>
          <w:lang w:val="es-CO"/>
        </w:rPr>
        <w:t>al contactar por correo electrónico al autor.</w:t>
      </w:r>
      <w:r w:rsidR="00DD34A0">
        <w:rPr>
          <w:rFonts w:ascii="Arial" w:eastAsia="Arial" w:hAnsi="Arial" w:cs="Arial"/>
          <w:sz w:val="24"/>
          <w:szCs w:val="24"/>
          <w:lang w:val="es-CO"/>
        </w:rPr>
        <w:t xml:space="preserve"> </w:t>
      </w:r>
    </w:p>
    <w:p w14:paraId="508C1C2C" w14:textId="3A42BB30" w:rsidR="18D844C8" w:rsidRPr="005D3494" w:rsidRDefault="00720DAE" w:rsidP="005D3494">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es-CO"/>
        </w:rPr>
        <w:t xml:space="preserve"> </w:t>
      </w:r>
    </w:p>
    <w:p w14:paraId="1D8E2434" w14:textId="4B9C4C6E" w:rsidR="18D844C8" w:rsidRDefault="5141EA98" w:rsidP="00720DAE">
      <w:pPr>
        <w:pStyle w:val="Ttulo2"/>
      </w:pPr>
      <w:bookmarkStart w:id="10" w:name="_Toc85474272"/>
      <w:r w:rsidRPr="005D3494">
        <w:rPr>
          <w:lang w:val="es-CO"/>
        </w:rPr>
        <w:t>Evaluación del riesgo de sesgos en los estudios incluidos</w:t>
      </w:r>
      <w:bookmarkEnd w:id="10"/>
      <w:r w:rsidRPr="005D3494">
        <w:t xml:space="preserve"> </w:t>
      </w:r>
    </w:p>
    <w:p w14:paraId="462CF15A" w14:textId="77777777" w:rsidR="002D2D64" w:rsidRPr="002D2D64" w:rsidRDefault="002D2D64" w:rsidP="002D2D64"/>
    <w:p w14:paraId="610BA1E7" w14:textId="3A4FC548" w:rsidR="18D844C8" w:rsidRPr="005D3494" w:rsidRDefault="5141EA98" w:rsidP="002D2D64">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lang w:val="es-CO"/>
        </w:rPr>
        <w:t xml:space="preserve">Dos revisores evaluaron de forma independiente y por duplicado los riesgos de sesgos. Los desacuerdos se resolvieron por consenso o después de la discusión con un tercer </w:t>
      </w:r>
      <w:r w:rsidR="002C7863">
        <w:rPr>
          <w:rFonts w:ascii="Arial" w:eastAsia="Arial" w:hAnsi="Arial" w:cs="Arial"/>
          <w:color w:val="000000" w:themeColor="text1"/>
          <w:sz w:val="24"/>
          <w:szCs w:val="24"/>
          <w:lang w:val="es-CO"/>
        </w:rPr>
        <w:t>evaluador</w:t>
      </w:r>
      <w:r w:rsidRPr="005D3494">
        <w:rPr>
          <w:rFonts w:ascii="Arial" w:eastAsia="Arial" w:hAnsi="Arial" w:cs="Arial"/>
          <w:color w:val="000000" w:themeColor="text1"/>
          <w:sz w:val="24"/>
          <w:szCs w:val="24"/>
          <w:lang w:val="es-CO"/>
        </w:rPr>
        <w:t xml:space="preserve">. Para </w:t>
      </w:r>
      <w:r w:rsidR="00DE5D9B">
        <w:rPr>
          <w:rFonts w:ascii="Arial" w:eastAsia="Arial" w:hAnsi="Arial" w:cs="Arial"/>
          <w:color w:val="000000" w:themeColor="text1"/>
          <w:sz w:val="24"/>
          <w:szCs w:val="24"/>
          <w:lang w:val="es-CO"/>
        </w:rPr>
        <w:t xml:space="preserve">evaluar sesgos en </w:t>
      </w:r>
      <w:r w:rsidRPr="005D3494">
        <w:rPr>
          <w:rFonts w:ascii="Arial" w:eastAsia="Arial" w:hAnsi="Arial" w:cs="Arial"/>
          <w:color w:val="000000" w:themeColor="text1"/>
          <w:sz w:val="24"/>
          <w:szCs w:val="24"/>
          <w:lang w:val="es-CO"/>
        </w:rPr>
        <w:t xml:space="preserve">los </w:t>
      </w:r>
      <w:r w:rsidRPr="5141EA98">
        <w:rPr>
          <w:rFonts w:ascii="Arial" w:eastAsia="Arial" w:hAnsi="Arial" w:cs="Arial"/>
          <w:color w:val="000000" w:themeColor="text1"/>
          <w:sz w:val="24"/>
          <w:szCs w:val="24"/>
          <w:lang w:val="es-CO"/>
        </w:rPr>
        <w:t xml:space="preserve">ECA </w:t>
      </w:r>
      <w:r w:rsidRPr="005D3494">
        <w:rPr>
          <w:rFonts w:ascii="Arial" w:eastAsia="Arial" w:hAnsi="Arial" w:cs="Arial"/>
          <w:color w:val="000000" w:themeColor="text1"/>
          <w:sz w:val="24"/>
          <w:szCs w:val="24"/>
          <w:lang w:val="es-CO"/>
        </w:rPr>
        <w:t xml:space="preserve">se empleó la herramienta </w:t>
      </w:r>
      <w:r w:rsidRPr="00FC6611">
        <w:rPr>
          <w:rFonts w:ascii="Arial" w:eastAsia="Arial" w:hAnsi="Arial" w:cs="Arial"/>
          <w:i/>
          <w:iCs/>
          <w:color w:val="000000" w:themeColor="text1"/>
          <w:sz w:val="24"/>
          <w:szCs w:val="24"/>
          <w:lang w:val="es-CO"/>
        </w:rPr>
        <w:t>Cochrane Risk of Bias</w:t>
      </w:r>
      <w:r w:rsidRPr="005D3494">
        <w:rPr>
          <w:rFonts w:ascii="Arial" w:eastAsia="Arial" w:hAnsi="Arial" w:cs="Arial"/>
          <w:color w:val="000000" w:themeColor="text1"/>
          <w:sz w:val="24"/>
          <w:szCs w:val="24"/>
          <w:lang w:val="es-CO"/>
        </w:rPr>
        <w:t xml:space="preserve"> para ensayos aleatorios (RoB2) (</w:t>
      </w:r>
      <w:r w:rsidR="00A50E6C">
        <w:rPr>
          <w:rFonts w:ascii="Arial" w:eastAsia="Arial" w:hAnsi="Arial" w:cs="Arial"/>
          <w:color w:val="000000" w:themeColor="text1"/>
          <w:sz w:val="24"/>
          <w:szCs w:val="24"/>
          <w:lang w:val="es-CO"/>
        </w:rPr>
        <w:t>1</w:t>
      </w:r>
      <w:r w:rsidR="005A473F">
        <w:rPr>
          <w:rFonts w:ascii="Arial" w:eastAsia="Arial" w:hAnsi="Arial" w:cs="Arial"/>
          <w:color w:val="000000" w:themeColor="text1"/>
          <w:sz w:val="24"/>
          <w:szCs w:val="24"/>
          <w:lang w:val="es-CO"/>
        </w:rPr>
        <w:t>1</w:t>
      </w:r>
      <w:r w:rsidRPr="005D3494">
        <w:rPr>
          <w:rFonts w:ascii="Arial" w:eastAsia="Arial" w:hAnsi="Arial" w:cs="Arial"/>
          <w:color w:val="000000" w:themeColor="text1"/>
          <w:sz w:val="24"/>
          <w:szCs w:val="24"/>
          <w:lang w:val="es-CO"/>
        </w:rPr>
        <w:t>).</w:t>
      </w:r>
      <w:r w:rsidR="00E0585D">
        <w:rPr>
          <w:rFonts w:ascii="Arial" w:eastAsia="Arial" w:hAnsi="Arial" w:cs="Arial"/>
          <w:color w:val="000000" w:themeColor="text1"/>
          <w:sz w:val="24"/>
          <w:szCs w:val="24"/>
          <w:lang w:val="es-CO"/>
        </w:rPr>
        <w:t xml:space="preserve"> </w:t>
      </w:r>
      <w:r w:rsidR="002C7863">
        <w:rPr>
          <w:rFonts w:ascii="Arial" w:eastAsia="Arial" w:hAnsi="Arial" w:cs="Arial"/>
          <w:color w:val="000000" w:themeColor="text1"/>
          <w:sz w:val="24"/>
          <w:szCs w:val="24"/>
          <w:lang w:val="es-CO"/>
        </w:rPr>
        <w:t xml:space="preserve">En los </w:t>
      </w:r>
      <w:r w:rsidRPr="005D3494">
        <w:rPr>
          <w:rFonts w:ascii="Arial" w:eastAsia="Arial" w:hAnsi="Arial" w:cs="Arial"/>
          <w:color w:val="000000" w:themeColor="text1"/>
          <w:sz w:val="24"/>
          <w:szCs w:val="24"/>
          <w:lang w:val="es-CO"/>
        </w:rPr>
        <w:t xml:space="preserve">estudios de </w:t>
      </w:r>
      <w:r w:rsidR="00E0130A">
        <w:rPr>
          <w:rFonts w:ascii="Arial" w:eastAsia="Arial" w:hAnsi="Arial" w:cs="Arial"/>
          <w:color w:val="000000" w:themeColor="text1"/>
          <w:sz w:val="24"/>
          <w:szCs w:val="24"/>
          <w:lang w:val="es-CO"/>
        </w:rPr>
        <w:t>cohortes</w:t>
      </w:r>
      <w:r w:rsidRPr="005D3494">
        <w:rPr>
          <w:rFonts w:ascii="Arial" w:eastAsia="Arial" w:hAnsi="Arial" w:cs="Arial"/>
          <w:color w:val="000000" w:themeColor="text1"/>
          <w:sz w:val="24"/>
          <w:szCs w:val="24"/>
          <w:lang w:val="es-CO"/>
        </w:rPr>
        <w:t xml:space="preserve"> se usaron </w:t>
      </w:r>
      <w:r w:rsidR="00987F44">
        <w:rPr>
          <w:rFonts w:ascii="Arial" w:eastAsia="Arial" w:hAnsi="Arial" w:cs="Arial"/>
          <w:color w:val="000000" w:themeColor="text1"/>
          <w:sz w:val="24"/>
          <w:szCs w:val="24"/>
          <w:lang w:val="es-CO"/>
        </w:rPr>
        <w:t xml:space="preserve">los </w:t>
      </w:r>
      <w:r w:rsidRPr="005D3494">
        <w:rPr>
          <w:rFonts w:ascii="Arial" w:eastAsia="Arial" w:hAnsi="Arial" w:cs="Arial"/>
          <w:color w:val="000000" w:themeColor="text1"/>
          <w:sz w:val="24"/>
          <w:szCs w:val="24"/>
          <w:lang w:val="es-CO"/>
        </w:rPr>
        <w:t>criterios adaptados de la herramienta riesgo de sesgo en estudios no aleatorios de intervenciones (ROBINS-I) (</w:t>
      </w:r>
      <w:r w:rsidR="004C2E5E">
        <w:rPr>
          <w:rFonts w:ascii="Arial" w:eastAsia="Arial" w:hAnsi="Arial" w:cs="Arial"/>
          <w:color w:val="000000" w:themeColor="text1"/>
          <w:sz w:val="24"/>
          <w:szCs w:val="24"/>
          <w:lang w:val="es-CO"/>
        </w:rPr>
        <w:t>1</w:t>
      </w:r>
      <w:r w:rsidR="005A473F">
        <w:rPr>
          <w:rFonts w:ascii="Arial" w:eastAsia="Arial" w:hAnsi="Arial" w:cs="Arial"/>
          <w:color w:val="000000" w:themeColor="text1"/>
          <w:sz w:val="24"/>
          <w:szCs w:val="24"/>
          <w:lang w:val="es-CO"/>
        </w:rPr>
        <w:t>2</w:t>
      </w:r>
      <w:r w:rsidRPr="005D3494">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rPr>
        <w:t xml:space="preserve"> </w:t>
      </w:r>
    </w:p>
    <w:p w14:paraId="13837BE2" w14:textId="1223CA04" w:rsidR="18D844C8" w:rsidRPr="005D3494" w:rsidRDefault="5141EA98" w:rsidP="002D2D64">
      <w:pPr>
        <w:spacing w:after="0" w:line="24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rPr>
        <w:t xml:space="preserve"> </w:t>
      </w:r>
    </w:p>
    <w:p w14:paraId="048F6053" w14:textId="65182C5D" w:rsidR="18D844C8" w:rsidRDefault="003F5B3D" w:rsidP="002D2D64">
      <w:pPr>
        <w:spacing w:after="0" w:line="360" w:lineRule="auto"/>
        <w:ind w:firstLine="680"/>
        <w:jc w:val="both"/>
        <w:rPr>
          <w:rFonts w:ascii="Arial" w:eastAsia="Arial" w:hAnsi="Arial" w:cs="Arial"/>
          <w:color w:val="000000" w:themeColor="text1"/>
          <w:sz w:val="24"/>
          <w:szCs w:val="24"/>
          <w:lang w:val="es-CO"/>
        </w:rPr>
      </w:pPr>
      <w:r w:rsidRPr="00081C8F">
        <w:rPr>
          <w:rFonts w:ascii="Arial" w:hAnsi="Arial" w:cs="Arial"/>
          <w:sz w:val="24"/>
          <w:szCs w:val="24"/>
        </w:rPr>
        <w:t>Cochrane</w:t>
      </w:r>
      <w:r w:rsidR="000A00EC" w:rsidRPr="00081C8F">
        <w:rPr>
          <w:rFonts w:ascii="Arial" w:hAnsi="Arial" w:cs="Arial"/>
          <w:sz w:val="24"/>
          <w:szCs w:val="24"/>
        </w:rPr>
        <w:t xml:space="preserve"> (12)</w:t>
      </w:r>
      <w:r w:rsidRPr="00081C8F">
        <w:rPr>
          <w:rFonts w:ascii="Arial" w:hAnsi="Arial" w:cs="Arial"/>
          <w:sz w:val="24"/>
          <w:szCs w:val="24"/>
        </w:rPr>
        <w:t xml:space="preserve"> propone, a través del Manual de Expectativas Metodológicas de las Revisiones de Intervención Cochrane (estándares MECIR, </w:t>
      </w:r>
      <w:r w:rsidRPr="00081C8F">
        <w:rPr>
          <w:rFonts w:ascii="Arial" w:hAnsi="Arial" w:cs="Arial"/>
          <w:i/>
          <w:iCs/>
          <w:sz w:val="24"/>
          <w:szCs w:val="24"/>
        </w:rPr>
        <w:t>Methodological Expectations of Cochrane Intervention Reviews</w:t>
      </w:r>
      <w:r w:rsidRPr="00081C8F">
        <w:rPr>
          <w:rFonts w:ascii="Arial" w:hAnsi="Arial" w:cs="Arial"/>
          <w:sz w:val="24"/>
          <w:szCs w:val="24"/>
        </w:rPr>
        <w:t xml:space="preserve"> por sus siglas en inglés), una serie de medidas destinadas a prevenir y controlar el sesgo de publicación,</w:t>
      </w:r>
      <w:r>
        <w:rPr>
          <w:rFonts w:ascii="Arial" w:hAnsi="Arial" w:cs="Arial"/>
          <w:sz w:val="24"/>
          <w:szCs w:val="24"/>
        </w:rPr>
        <w:t xml:space="preserve"> entre ellas,</w:t>
      </w:r>
      <w:r>
        <w:rPr>
          <w:rFonts w:ascii="Arial" w:eastAsia="Arial" w:hAnsi="Arial" w:cs="Arial"/>
          <w:color w:val="000000" w:themeColor="text1"/>
          <w:sz w:val="24"/>
          <w:szCs w:val="24"/>
          <w:lang w:val="es-CO"/>
        </w:rPr>
        <w:t xml:space="preserve"> </w:t>
      </w:r>
      <w:r w:rsidR="000A00EC" w:rsidRPr="005D3494">
        <w:rPr>
          <w:rFonts w:ascii="Arial" w:eastAsia="Arial" w:hAnsi="Arial" w:cs="Arial"/>
          <w:color w:val="000000" w:themeColor="text1"/>
          <w:sz w:val="24"/>
          <w:szCs w:val="24"/>
          <w:lang w:val="es-CO"/>
        </w:rPr>
        <w:t>se</w:t>
      </w:r>
      <w:r w:rsidR="000A00EC">
        <w:rPr>
          <w:rFonts w:ascii="Arial" w:eastAsia="Arial" w:hAnsi="Arial" w:cs="Arial"/>
          <w:color w:val="000000" w:themeColor="text1"/>
          <w:sz w:val="24"/>
          <w:szCs w:val="24"/>
          <w:lang w:val="es-CO"/>
        </w:rPr>
        <w:t xml:space="preserve"> </w:t>
      </w:r>
      <w:r w:rsidR="000A00EC" w:rsidRPr="005D3494">
        <w:rPr>
          <w:rFonts w:ascii="Arial" w:eastAsia="Arial" w:hAnsi="Arial" w:cs="Arial"/>
          <w:color w:val="000000" w:themeColor="text1"/>
          <w:sz w:val="24"/>
          <w:szCs w:val="24"/>
          <w:lang w:val="es-CO"/>
        </w:rPr>
        <w:t>tuvo</w:t>
      </w:r>
      <w:r w:rsidR="5141EA98" w:rsidRPr="005D3494">
        <w:rPr>
          <w:rFonts w:ascii="Arial" w:eastAsia="Arial" w:hAnsi="Arial" w:cs="Arial"/>
          <w:color w:val="000000" w:themeColor="text1"/>
          <w:sz w:val="24"/>
          <w:szCs w:val="24"/>
          <w:lang w:val="es-CO"/>
        </w:rPr>
        <w:t xml:space="preserve"> la participación de un bibliotecólogo experimentado en revisiones sistemáticas, </w:t>
      </w:r>
      <w:r>
        <w:rPr>
          <w:rFonts w:ascii="Arial" w:eastAsia="Arial" w:hAnsi="Arial" w:cs="Arial"/>
          <w:color w:val="000000" w:themeColor="text1"/>
          <w:sz w:val="24"/>
          <w:szCs w:val="24"/>
          <w:lang w:val="es-CO"/>
        </w:rPr>
        <w:t>adaptándose</w:t>
      </w:r>
      <w:r w:rsidR="5141EA98" w:rsidRPr="005D3494">
        <w:rPr>
          <w:rFonts w:ascii="Arial" w:eastAsia="Arial" w:hAnsi="Arial" w:cs="Arial"/>
          <w:color w:val="000000" w:themeColor="text1"/>
          <w:sz w:val="24"/>
          <w:szCs w:val="24"/>
          <w:lang w:val="es-CO"/>
        </w:rPr>
        <w:t xml:space="preserve"> el diseño de la estrategia de búsqueda a las diferentes plataformas. Se incluyeron estudios publicados y no publicados</w:t>
      </w:r>
      <w:r w:rsidR="00B26EFF">
        <w:rPr>
          <w:rFonts w:ascii="Arial" w:eastAsia="Arial" w:hAnsi="Arial" w:cs="Arial"/>
          <w:color w:val="000000" w:themeColor="text1"/>
          <w:sz w:val="24"/>
          <w:szCs w:val="24"/>
          <w:lang w:val="es-CO"/>
        </w:rPr>
        <w:t>.</w:t>
      </w:r>
      <w:r w:rsidR="5141EA98" w:rsidRPr="005D3494">
        <w:rPr>
          <w:rFonts w:ascii="Arial" w:eastAsia="Arial" w:hAnsi="Arial" w:cs="Arial"/>
          <w:color w:val="000000" w:themeColor="text1"/>
          <w:sz w:val="24"/>
          <w:szCs w:val="24"/>
          <w:lang w:val="es-CO"/>
        </w:rPr>
        <w:t xml:space="preserve"> </w:t>
      </w:r>
      <w:r w:rsidR="00B26EFF">
        <w:rPr>
          <w:rFonts w:ascii="Arial" w:eastAsia="Arial" w:hAnsi="Arial" w:cs="Arial"/>
          <w:color w:val="000000" w:themeColor="text1"/>
          <w:sz w:val="24"/>
          <w:szCs w:val="24"/>
          <w:lang w:val="es-CO"/>
        </w:rPr>
        <w:t>P</w:t>
      </w:r>
      <w:r w:rsidR="5141EA98" w:rsidRPr="005D3494">
        <w:rPr>
          <w:rFonts w:ascii="Arial" w:eastAsia="Arial" w:hAnsi="Arial" w:cs="Arial"/>
          <w:color w:val="000000" w:themeColor="text1"/>
          <w:sz w:val="24"/>
          <w:szCs w:val="24"/>
          <w:lang w:val="es-CO"/>
        </w:rPr>
        <w:t>ara estos últimos se hizo la búsqueda en repositorios de literatura gris</w:t>
      </w:r>
      <w:r w:rsidR="00D53795">
        <w:rPr>
          <w:rFonts w:ascii="Arial" w:eastAsia="Arial" w:hAnsi="Arial" w:cs="Arial"/>
          <w:color w:val="000000" w:themeColor="text1"/>
          <w:sz w:val="24"/>
          <w:szCs w:val="24"/>
          <w:lang w:val="es-CO"/>
        </w:rPr>
        <w:t>, búsqueda manual en registros de ensayos clínicos y en bola de nieve (referencia de estudios relevantes)</w:t>
      </w:r>
      <w:r w:rsidR="00012D7D">
        <w:rPr>
          <w:rFonts w:ascii="Arial" w:eastAsia="Arial" w:hAnsi="Arial" w:cs="Arial"/>
          <w:color w:val="000000" w:themeColor="text1"/>
          <w:sz w:val="24"/>
          <w:szCs w:val="24"/>
          <w:lang w:val="es-CO"/>
        </w:rPr>
        <w:t xml:space="preserve">. </w:t>
      </w:r>
      <w:r w:rsidR="5141EA98" w:rsidRPr="005D3494">
        <w:rPr>
          <w:rFonts w:ascii="Arial" w:eastAsia="Arial" w:hAnsi="Arial" w:cs="Arial"/>
          <w:color w:val="000000" w:themeColor="text1"/>
          <w:sz w:val="24"/>
          <w:szCs w:val="24"/>
          <w:lang w:val="es-CO"/>
        </w:rPr>
        <w:t>Tampoco hubo restricciones en cuanto al idioma</w:t>
      </w:r>
      <w:r w:rsidR="00854950">
        <w:rPr>
          <w:rFonts w:ascii="Arial" w:eastAsia="Arial" w:hAnsi="Arial" w:cs="Arial"/>
          <w:color w:val="000000" w:themeColor="text1"/>
          <w:sz w:val="24"/>
          <w:szCs w:val="24"/>
          <w:lang w:val="es-CO"/>
        </w:rPr>
        <w:t>, ni a la fecha de publicación</w:t>
      </w:r>
      <w:r w:rsidR="5141EA98" w:rsidRPr="5141EA98">
        <w:rPr>
          <w:rFonts w:ascii="Arial" w:eastAsia="Arial" w:hAnsi="Arial" w:cs="Arial"/>
          <w:color w:val="000000" w:themeColor="text1"/>
          <w:sz w:val="24"/>
          <w:szCs w:val="24"/>
          <w:lang w:val="es-CO"/>
        </w:rPr>
        <w:t>.</w:t>
      </w:r>
      <w:r w:rsidR="00720DAE">
        <w:rPr>
          <w:rFonts w:ascii="Arial" w:eastAsia="Arial" w:hAnsi="Arial" w:cs="Arial"/>
          <w:color w:val="000000" w:themeColor="text1"/>
          <w:sz w:val="24"/>
          <w:szCs w:val="24"/>
          <w:lang w:val="es-CO"/>
        </w:rPr>
        <w:t xml:space="preserve"> </w:t>
      </w:r>
      <w:r w:rsidR="5141EA98" w:rsidRPr="5141EA98">
        <w:rPr>
          <w:rFonts w:ascii="Arial" w:eastAsia="Arial" w:hAnsi="Arial" w:cs="Arial"/>
          <w:color w:val="000000" w:themeColor="text1"/>
          <w:sz w:val="24"/>
          <w:szCs w:val="24"/>
          <w:lang w:val="es-CO"/>
        </w:rPr>
        <w:t xml:space="preserve">Se planteó realizar </w:t>
      </w:r>
      <w:r w:rsidR="5141EA98" w:rsidRPr="005D3494">
        <w:rPr>
          <w:rFonts w:ascii="Arial" w:eastAsia="Arial" w:hAnsi="Arial" w:cs="Arial"/>
          <w:color w:val="000000" w:themeColor="text1"/>
          <w:sz w:val="24"/>
          <w:szCs w:val="24"/>
          <w:lang w:val="es-CO"/>
        </w:rPr>
        <w:t>la prueba de Egger para evaluar el sesgo de publicación</w:t>
      </w:r>
      <w:r w:rsidR="5141EA98" w:rsidRPr="5141EA98">
        <w:rPr>
          <w:rFonts w:ascii="Arial" w:eastAsia="Arial" w:hAnsi="Arial" w:cs="Arial"/>
          <w:color w:val="000000" w:themeColor="text1"/>
          <w:sz w:val="24"/>
          <w:szCs w:val="24"/>
          <w:lang w:val="es-CO"/>
        </w:rPr>
        <w:t xml:space="preserve"> </w:t>
      </w:r>
      <w:r w:rsidR="002C7863">
        <w:rPr>
          <w:rFonts w:ascii="Arial" w:eastAsia="Arial" w:hAnsi="Arial" w:cs="Arial"/>
          <w:color w:val="000000" w:themeColor="text1"/>
          <w:sz w:val="24"/>
          <w:szCs w:val="24"/>
          <w:lang w:val="es-CO"/>
        </w:rPr>
        <w:t>si</w:t>
      </w:r>
      <w:r w:rsidR="00B26EFF">
        <w:rPr>
          <w:rFonts w:ascii="Arial" w:eastAsia="Arial" w:hAnsi="Arial" w:cs="Arial"/>
          <w:color w:val="000000" w:themeColor="text1"/>
          <w:sz w:val="24"/>
          <w:szCs w:val="24"/>
          <w:lang w:val="es-CO"/>
        </w:rPr>
        <w:t xml:space="preserve"> se</w:t>
      </w:r>
      <w:r w:rsidR="002C7863">
        <w:rPr>
          <w:rFonts w:ascii="Arial" w:eastAsia="Arial" w:hAnsi="Arial" w:cs="Arial"/>
          <w:color w:val="000000" w:themeColor="text1"/>
          <w:sz w:val="24"/>
          <w:szCs w:val="24"/>
          <w:lang w:val="es-CO"/>
        </w:rPr>
        <w:t xml:space="preserve"> obt</w:t>
      </w:r>
      <w:r w:rsidR="00987F44">
        <w:rPr>
          <w:rFonts w:ascii="Arial" w:eastAsia="Arial" w:hAnsi="Arial" w:cs="Arial"/>
          <w:color w:val="000000" w:themeColor="text1"/>
          <w:sz w:val="24"/>
          <w:szCs w:val="24"/>
          <w:lang w:val="es-CO"/>
        </w:rPr>
        <w:t>iene</w:t>
      </w:r>
      <w:r w:rsidR="002C7863">
        <w:rPr>
          <w:rFonts w:ascii="Arial" w:eastAsia="Arial" w:hAnsi="Arial" w:cs="Arial"/>
          <w:color w:val="000000" w:themeColor="text1"/>
          <w:sz w:val="24"/>
          <w:szCs w:val="24"/>
          <w:lang w:val="es-CO"/>
        </w:rPr>
        <w:t xml:space="preserve"> un número suficiente de estudios </w:t>
      </w:r>
      <w:r w:rsidR="5141EA98" w:rsidRPr="5141EA98">
        <w:rPr>
          <w:rFonts w:ascii="Arial" w:eastAsia="Arial" w:hAnsi="Arial" w:cs="Arial"/>
          <w:color w:val="000000" w:themeColor="text1"/>
          <w:sz w:val="24"/>
          <w:szCs w:val="24"/>
          <w:lang w:val="es-CO"/>
        </w:rPr>
        <w:t>(1</w:t>
      </w:r>
      <w:r w:rsidR="005A473F">
        <w:rPr>
          <w:rFonts w:ascii="Arial" w:eastAsia="Arial" w:hAnsi="Arial" w:cs="Arial"/>
          <w:color w:val="000000" w:themeColor="text1"/>
          <w:sz w:val="24"/>
          <w:szCs w:val="24"/>
          <w:lang w:val="es-CO"/>
        </w:rPr>
        <w:t>3</w:t>
      </w:r>
      <w:r w:rsidR="5141EA98" w:rsidRPr="5141EA98">
        <w:rPr>
          <w:rFonts w:ascii="Arial" w:eastAsia="Arial" w:hAnsi="Arial" w:cs="Arial"/>
          <w:color w:val="000000" w:themeColor="text1"/>
          <w:sz w:val="24"/>
          <w:szCs w:val="24"/>
          <w:lang w:val="es-CO"/>
        </w:rPr>
        <w:t>).</w:t>
      </w:r>
    </w:p>
    <w:p w14:paraId="56DF4993" w14:textId="77777777" w:rsidR="00332BCF" w:rsidRPr="005D3494" w:rsidRDefault="00332BCF" w:rsidP="002D2D64">
      <w:pPr>
        <w:spacing w:after="0" w:line="360" w:lineRule="auto"/>
        <w:ind w:firstLine="680"/>
        <w:jc w:val="both"/>
        <w:rPr>
          <w:rFonts w:ascii="Arial" w:eastAsia="Arial" w:hAnsi="Arial" w:cs="Arial"/>
          <w:sz w:val="24"/>
          <w:szCs w:val="24"/>
        </w:rPr>
      </w:pPr>
    </w:p>
    <w:p w14:paraId="4925355F" w14:textId="79F8D916" w:rsidR="18D844C8" w:rsidRDefault="5141EA98" w:rsidP="00720DAE">
      <w:pPr>
        <w:pStyle w:val="Ttulo2"/>
        <w:rPr>
          <w:color w:val="000000" w:themeColor="text1"/>
        </w:rPr>
      </w:pPr>
      <w:bookmarkStart w:id="11" w:name="_Toc85474273"/>
      <w:r w:rsidRPr="005D3494">
        <w:rPr>
          <w:bCs/>
          <w:color w:val="000000" w:themeColor="text1"/>
          <w:lang w:val="es-CO"/>
        </w:rPr>
        <w:t>Estrategia para la síntesis de datos</w:t>
      </w:r>
      <w:bookmarkEnd w:id="11"/>
      <w:r w:rsidRPr="005D3494">
        <w:rPr>
          <w:color w:val="000000" w:themeColor="text1"/>
        </w:rPr>
        <w:t xml:space="preserve"> </w:t>
      </w:r>
    </w:p>
    <w:p w14:paraId="5AAD1A4D" w14:textId="77777777" w:rsidR="002D2D64" w:rsidRPr="002D2D64" w:rsidRDefault="002D2D64" w:rsidP="002D2D64"/>
    <w:p w14:paraId="452D3FD0" w14:textId="2FD38D03" w:rsidR="00743416" w:rsidRDefault="5141EA98" w:rsidP="002D2D64">
      <w:pPr>
        <w:spacing w:after="0" w:line="360" w:lineRule="auto"/>
        <w:ind w:firstLine="680"/>
        <w:jc w:val="both"/>
        <w:rPr>
          <w:rFonts w:ascii="Arial" w:eastAsia="Arial" w:hAnsi="Arial" w:cs="Arial"/>
          <w:color w:val="000000" w:themeColor="text1"/>
          <w:sz w:val="24"/>
          <w:szCs w:val="24"/>
          <w:lang w:val="es-CO"/>
        </w:rPr>
      </w:pPr>
      <w:r w:rsidRPr="005D3494">
        <w:rPr>
          <w:rFonts w:ascii="Arial" w:eastAsia="Arial" w:hAnsi="Arial" w:cs="Arial"/>
          <w:color w:val="000000" w:themeColor="text1"/>
          <w:sz w:val="24"/>
          <w:szCs w:val="24"/>
          <w:lang w:val="es-CO"/>
        </w:rPr>
        <w:t xml:space="preserve">Dados los </w:t>
      </w:r>
      <w:r w:rsidR="002C7863">
        <w:rPr>
          <w:rFonts w:ascii="Arial" w:eastAsia="Arial" w:hAnsi="Arial" w:cs="Arial"/>
          <w:color w:val="000000" w:themeColor="text1"/>
          <w:sz w:val="24"/>
          <w:szCs w:val="24"/>
          <w:lang w:val="es-CO"/>
        </w:rPr>
        <w:t xml:space="preserve">diseños </w:t>
      </w:r>
      <w:r w:rsidRPr="005D3494">
        <w:rPr>
          <w:rFonts w:ascii="Arial" w:eastAsia="Arial" w:hAnsi="Arial" w:cs="Arial"/>
          <w:color w:val="000000" w:themeColor="text1"/>
          <w:sz w:val="24"/>
          <w:szCs w:val="24"/>
          <w:lang w:val="es-CO"/>
        </w:rPr>
        <w:t>de estudios considerados -observacionales y aleatorizados- se realizó la síntesis de estos por separado para cada grupo.</w:t>
      </w:r>
      <w:r w:rsidRPr="005D3494">
        <w:rPr>
          <w:rFonts w:ascii="Arial" w:eastAsia="Arial" w:hAnsi="Arial" w:cs="Arial"/>
          <w:sz w:val="24"/>
          <w:szCs w:val="24"/>
          <w:lang w:val="es-CO"/>
        </w:rPr>
        <w:t xml:space="preserve"> Para decidir </w:t>
      </w:r>
      <w:r w:rsidR="00DE5D9B">
        <w:rPr>
          <w:rFonts w:ascii="Arial" w:eastAsia="Arial" w:hAnsi="Arial" w:cs="Arial"/>
          <w:sz w:val="24"/>
          <w:szCs w:val="24"/>
          <w:lang w:val="es-CO"/>
        </w:rPr>
        <w:t>cu</w:t>
      </w:r>
      <w:r w:rsidR="00B26EFF">
        <w:rPr>
          <w:rFonts w:ascii="Arial" w:eastAsia="Arial" w:hAnsi="Arial" w:cs="Arial"/>
          <w:sz w:val="24"/>
          <w:szCs w:val="24"/>
          <w:lang w:val="es-CO"/>
        </w:rPr>
        <w:t>á</w:t>
      </w:r>
      <w:r w:rsidR="00DE5D9B">
        <w:rPr>
          <w:rFonts w:ascii="Arial" w:eastAsia="Arial" w:hAnsi="Arial" w:cs="Arial"/>
          <w:sz w:val="24"/>
          <w:szCs w:val="24"/>
          <w:lang w:val="es-CO"/>
        </w:rPr>
        <w:t>les</w:t>
      </w:r>
      <w:r w:rsidRPr="005D3494">
        <w:rPr>
          <w:rFonts w:ascii="Arial" w:eastAsia="Arial" w:hAnsi="Arial" w:cs="Arial"/>
          <w:sz w:val="24"/>
          <w:szCs w:val="24"/>
          <w:lang w:val="es-CO"/>
        </w:rPr>
        <w:t xml:space="preserve"> estudios </w:t>
      </w:r>
      <w:r w:rsidR="00DE5D9B">
        <w:rPr>
          <w:rFonts w:ascii="Arial" w:eastAsia="Arial" w:hAnsi="Arial" w:cs="Arial"/>
          <w:sz w:val="24"/>
          <w:szCs w:val="24"/>
          <w:lang w:val="es-CO"/>
        </w:rPr>
        <w:t>eran</w:t>
      </w:r>
      <w:r w:rsidRPr="005D3494">
        <w:rPr>
          <w:rFonts w:ascii="Arial" w:eastAsia="Arial" w:hAnsi="Arial" w:cs="Arial"/>
          <w:sz w:val="24"/>
          <w:szCs w:val="24"/>
          <w:lang w:val="es-CO"/>
        </w:rPr>
        <w:t xml:space="preserve"> elegibles para la síntesis, se compararon los datos tabulados de cada estudio con los grupos planificados previamente.</w:t>
      </w:r>
      <w:r w:rsidR="00C56B31" w:rsidRPr="005D3494" w:rsidDel="00C56B31">
        <w:rPr>
          <w:rFonts w:ascii="Arial" w:eastAsia="Arial" w:hAnsi="Arial" w:cs="Arial"/>
          <w:sz w:val="24"/>
          <w:szCs w:val="24"/>
        </w:rPr>
        <w:t xml:space="preserve"> </w:t>
      </w:r>
      <w:r w:rsidRPr="00C56B31">
        <w:rPr>
          <w:rFonts w:ascii="Arial" w:eastAsia="Arial" w:hAnsi="Arial" w:cs="Arial"/>
          <w:sz w:val="24"/>
          <w:szCs w:val="24"/>
        </w:rPr>
        <w:t xml:space="preserve">Posteriormente, con </w:t>
      </w:r>
      <w:r w:rsidRPr="00C56B31">
        <w:rPr>
          <w:rFonts w:ascii="Arial" w:eastAsia="Arial" w:hAnsi="Arial" w:cs="Arial"/>
          <w:color w:val="000000" w:themeColor="text1"/>
          <w:sz w:val="24"/>
          <w:szCs w:val="24"/>
        </w:rPr>
        <w:t xml:space="preserve">el software </w:t>
      </w:r>
      <w:r w:rsidR="002C7863" w:rsidRPr="00C16400">
        <w:rPr>
          <w:rFonts w:ascii="Arial" w:eastAsia="Arial" w:hAnsi="Arial" w:cs="Arial"/>
          <w:i/>
          <w:iCs/>
          <w:color w:val="000000" w:themeColor="text1"/>
          <w:sz w:val="24"/>
          <w:szCs w:val="24"/>
        </w:rPr>
        <w:t>Review Manager</w:t>
      </w:r>
      <w:r w:rsidR="002C7863" w:rsidRPr="00C56B31">
        <w:rPr>
          <w:rFonts w:ascii="Arial" w:eastAsia="Arial" w:hAnsi="Arial" w:cs="Arial"/>
          <w:color w:val="000000" w:themeColor="text1"/>
          <w:sz w:val="24"/>
          <w:szCs w:val="24"/>
        </w:rPr>
        <w:t xml:space="preserve"> (RevMan) versi</w:t>
      </w:r>
      <w:r w:rsidR="00EB4A44">
        <w:rPr>
          <w:rFonts w:ascii="Arial" w:eastAsia="Arial" w:hAnsi="Arial" w:cs="Arial"/>
          <w:color w:val="000000" w:themeColor="text1"/>
          <w:sz w:val="24"/>
          <w:szCs w:val="24"/>
        </w:rPr>
        <w:t>ó</w:t>
      </w:r>
      <w:r w:rsidR="002C7863" w:rsidRPr="00C56B31">
        <w:rPr>
          <w:rFonts w:ascii="Arial" w:eastAsia="Arial" w:hAnsi="Arial" w:cs="Arial"/>
          <w:color w:val="000000" w:themeColor="text1"/>
          <w:sz w:val="24"/>
          <w:szCs w:val="24"/>
        </w:rPr>
        <w:t>n 5.</w:t>
      </w:r>
      <w:r w:rsidR="002C7863">
        <w:rPr>
          <w:rFonts w:ascii="Arial" w:eastAsia="Arial" w:hAnsi="Arial" w:cs="Arial"/>
          <w:color w:val="000000" w:themeColor="text1"/>
          <w:sz w:val="24"/>
          <w:szCs w:val="24"/>
        </w:rPr>
        <w:t>4</w:t>
      </w:r>
      <w:r w:rsidR="002C7863" w:rsidRPr="00C56B31">
        <w:rPr>
          <w:rFonts w:ascii="Arial" w:eastAsia="Arial" w:hAnsi="Arial" w:cs="Arial"/>
          <w:color w:val="000000" w:themeColor="text1"/>
          <w:sz w:val="24"/>
          <w:szCs w:val="24"/>
        </w:rPr>
        <w:t xml:space="preserve"> (</w:t>
      </w:r>
      <w:r w:rsidR="002C7863" w:rsidRPr="00C16400">
        <w:rPr>
          <w:rFonts w:ascii="Arial" w:eastAsia="Arial" w:hAnsi="Arial" w:cs="Arial"/>
          <w:i/>
          <w:iCs/>
          <w:color w:val="000000" w:themeColor="text1"/>
          <w:sz w:val="24"/>
          <w:szCs w:val="24"/>
        </w:rPr>
        <w:t xml:space="preserve">The Cochrane Collaboration, The Nordic Cochrane </w:t>
      </w:r>
      <w:r w:rsidR="002C7863" w:rsidRPr="00C16400">
        <w:rPr>
          <w:rFonts w:ascii="Arial" w:eastAsia="Arial" w:hAnsi="Arial" w:cs="Arial"/>
          <w:i/>
          <w:iCs/>
          <w:color w:val="000000" w:themeColor="text1"/>
          <w:sz w:val="24"/>
          <w:szCs w:val="24"/>
          <w:lang w:val="es-CO"/>
        </w:rPr>
        <w:t xml:space="preserve">Centre, </w:t>
      </w:r>
      <w:r w:rsidR="002C7863" w:rsidRPr="00C16400">
        <w:rPr>
          <w:rFonts w:ascii="Arial" w:eastAsia="Arial" w:hAnsi="Arial" w:cs="Arial"/>
          <w:i/>
          <w:iCs/>
          <w:color w:val="000000" w:themeColor="text1"/>
          <w:sz w:val="24"/>
          <w:szCs w:val="24"/>
          <w:lang w:val="es-CO"/>
        </w:rPr>
        <w:lastRenderedPageBreak/>
        <w:t>Copenhagen, Denmark</w:t>
      </w:r>
      <w:r w:rsidR="002C7863" w:rsidRPr="002C7863">
        <w:rPr>
          <w:rFonts w:ascii="Arial" w:eastAsia="Arial" w:hAnsi="Arial" w:cs="Arial"/>
          <w:color w:val="000000" w:themeColor="text1"/>
          <w:sz w:val="24"/>
          <w:szCs w:val="24"/>
          <w:lang w:val="es-CO"/>
        </w:rPr>
        <w:t>)</w:t>
      </w:r>
      <w:r w:rsidR="00720DAE">
        <w:rPr>
          <w:rFonts w:ascii="Arial" w:eastAsia="Arial" w:hAnsi="Arial" w:cs="Arial"/>
          <w:color w:val="000000" w:themeColor="text1"/>
          <w:sz w:val="24"/>
          <w:szCs w:val="24"/>
          <w:lang w:val="es-CO"/>
        </w:rPr>
        <w:t xml:space="preserve"> </w:t>
      </w:r>
      <w:r w:rsidRPr="005D3494">
        <w:rPr>
          <w:rFonts w:ascii="Arial" w:eastAsia="Arial" w:hAnsi="Arial" w:cs="Arial"/>
          <w:sz w:val="24"/>
          <w:szCs w:val="24"/>
          <w:lang w:val="es-CO"/>
        </w:rPr>
        <w:t>se</w:t>
      </w:r>
      <w:r w:rsidRPr="005D3494">
        <w:rPr>
          <w:rFonts w:ascii="Arial" w:eastAsia="Arial" w:hAnsi="Arial" w:cs="Arial"/>
          <w:color w:val="000000" w:themeColor="text1"/>
          <w:sz w:val="24"/>
          <w:szCs w:val="24"/>
          <w:lang w:val="es-CO"/>
        </w:rPr>
        <w:t xml:space="preserve"> realiz</w:t>
      </w:r>
      <w:r w:rsidR="00112A88">
        <w:rPr>
          <w:rFonts w:ascii="Arial" w:eastAsia="Arial" w:hAnsi="Arial" w:cs="Arial"/>
          <w:color w:val="000000" w:themeColor="text1"/>
          <w:sz w:val="24"/>
          <w:szCs w:val="24"/>
          <w:lang w:val="es-CO"/>
        </w:rPr>
        <w:t>aron</w:t>
      </w:r>
      <w:r w:rsidRPr="005D3494">
        <w:rPr>
          <w:rFonts w:ascii="Arial" w:eastAsia="Arial" w:hAnsi="Arial" w:cs="Arial"/>
          <w:color w:val="000000" w:themeColor="text1"/>
          <w:sz w:val="24"/>
          <w:szCs w:val="24"/>
          <w:lang w:val="es-CO"/>
        </w:rPr>
        <w:t xml:space="preserve"> metaanálisis por separado para </w:t>
      </w:r>
      <w:r w:rsidR="00C56B31">
        <w:rPr>
          <w:rFonts w:ascii="Arial" w:eastAsia="Arial" w:hAnsi="Arial" w:cs="Arial"/>
          <w:color w:val="000000" w:themeColor="text1"/>
          <w:sz w:val="24"/>
          <w:szCs w:val="24"/>
          <w:lang w:val="es-CO"/>
        </w:rPr>
        <w:t xml:space="preserve">cada desenlace según </w:t>
      </w:r>
      <w:r w:rsidRPr="005D3494">
        <w:rPr>
          <w:rFonts w:ascii="Arial" w:eastAsia="Arial" w:hAnsi="Arial" w:cs="Arial"/>
          <w:color w:val="000000" w:themeColor="text1"/>
          <w:sz w:val="24"/>
          <w:szCs w:val="24"/>
          <w:lang w:val="es-CO"/>
        </w:rPr>
        <w:t xml:space="preserve">el </w:t>
      </w:r>
      <w:r w:rsidR="009D6FD3">
        <w:rPr>
          <w:rFonts w:ascii="Arial" w:eastAsia="Arial" w:hAnsi="Arial" w:cs="Arial"/>
          <w:color w:val="000000" w:themeColor="text1"/>
          <w:sz w:val="24"/>
          <w:szCs w:val="24"/>
          <w:lang w:val="es-CO"/>
        </w:rPr>
        <w:t>diseño</w:t>
      </w:r>
      <w:r w:rsidRPr="005D3494">
        <w:rPr>
          <w:rFonts w:ascii="Arial" w:eastAsia="Arial" w:hAnsi="Arial" w:cs="Arial"/>
          <w:color w:val="000000" w:themeColor="text1"/>
          <w:sz w:val="24"/>
          <w:szCs w:val="24"/>
          <w:lang w:val="es-CO"/>
        </w:rPr>
        <w:t xml:space="preserve"> de estudios aleatorizados </w:t>
      </w:r>
      <w:r w:rsidR="00C56B31">
        <w:rPr>
          <w:rFonts w:ascii="Arial" w:eastAsia="Arial" w:hAnsi="Arial" w:cs="Arial"/>
          <w:color w:val="000000" w:themeColor="text1"/>
          <w:sz w:val="24"/>
          <w:szCs w:val="24"/>
          <w:lang w:val="es-CO"/>
        </w:rPr>
        <w:t>o</w:t>
      </w:r>
      <w:r w:rsidRPr="005D3494">
        <w:rPr>
          <w:rFonts w:ascii="Arial" w:eastAsia="Arial" w:hAnsi="Arial" w:cs="Arial"/>
          <w:color w:val="000000" w:themeColor="text1"/>
          <w:sz w:val="24"/>
          <w:szCs w:val="24"/>
          <w:lang w:val="es-CO"/>
        </w:rPr>
        <w:t xml:space="preserve"> de </w:t>
      </w:r>
      <w:r w:rsidR="00E0130A">
        <w:rPr>
          <w:rFonts w:ascii="Arial" w:eastAsia="Arial" w:hAnsi="Arial" w:cs="Arial"/>
          <w:color w:val="000000" w:themeColor="text1"/>
          <w:sz w:val="24"/>
          <w:szCs w:val="24"/>
          <w:lang w:val="es-CO"/>
        </w:rPr>
        <w:t>cohortes</w:t>
      </w:r>
      <w:r w:rsidRPr="005D3494">
        <w:rPr>
          <w:rFonts w:ascii="Arial" w:eastAsia="Arial" w:hAnsi="Arial" w:cs="Arial"/>
          <w:color w:val="000000" w:themeColor="text1"/>
          <w:sz w:val="24"/>
          <w:szCs w:val="24"/>
          <w:lang w:val="es-CO"/>
        </w:rPr>
        <w:t xml:space="preserve">, </w:t>
      </w:r>
      <w:r w:rsidR="00C56B31">
        <w:rPr>
          <w:rFonts w:ascii="Arial" w:eastAsia="Arial" w:hAnsi="Arial" w:cs="Arial"/>
          <w:color w:val="000000" w:themeColor="text1"/>
          <w:sz w:val="24"/>
          <w:szCs w:val="24"/>
          <w:lang w:val="es-CO"/>
        </w:rPr>
        <w:t>e</w:t>
      </w:r>
      <w:r w:rsidRPr="005D3494">
        <w:rPr>
          <w:rFonts w:ascii="Arial" w:eastAsia="Arial" w:hAnsi="Arial" w:cs="Arial"/>
          <w:color w:val="000000" w:themeColor="text1"/>
          <w:sz w:val="24"/>
          <w:szCs w:val="24"/>
          <w:lang w:val="es-CO"/>
        </w:rPr>
        <w:t>mpleando como medida del efecto</w:t>
      </w:r>
      <w:r w:rsidR="00B26EFF">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xml:space="preserve"> para cada desenlace</w:t>
      </w:r>
      <w:r w:rsidR="00B26EFF">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xml:space="preserve"> el riesgo relativo con su intervalo de confianza del 95% (IC95%) correspondientes </w:t>
      </w:r>
      <w:r w:rsidR="00B26EFF">
        <w:rPr>
          <w:rFonts w:ascii="Arial" w:eastAsia="Arial" w:hAnsi="Arial" w:cs="Arial"/>
          <w:color w:val="000000" w:themeColor="text1"/>
          <w:sz w:val="24"/>
          <w:szCs w:val="24"/>
          <w:lang w:val="es-CO"/>
        </w:rPr>
        <w:t>a</w:t>
      </w:r>
      <w:r w:rsidRPr="005D3494">
        <w:rPr>
          <w:rFonts w:ascii="Arial" w:eastAsia="Arial" w:hAnsi="Arial" w:cs="Arial"/>
          <w:color w:val="000000" w:themeColor="text1"/>
          <w:sz w:val="24"/>
          <w:szCs w:val="24"/>
          <w:lang w:val="es-CO"/>
        </w:rPr>
        <w:t xml:space="preserve"> cada estudio. </w:t>
      </w:r>
    </w:p>
    <w:p w14:paraId="39802482" w14:textId="77777777" w:rsidR="00743416" w:rsidRDefault="00743416" w:rsidP="002C7863">
      <w:pPr>
        <w:spacing w:after="0" w:line="360" w:lineRule="auto"/>
        <w:jc w:val="both"/>
        <w:rPr>
          <w:rFonts w:ascii="Arial" w:eastAsia="Arial" w:hAnsi="Arial" w:cs="Arial"/>
          <w:color w:val="000000" w:themeColor="text1"/>
          <w:sz w:val="24"/>
          <w:szCs w:val="24"/>
          <w:lang w:val="es-CO"/>
        </w:rPr>
      </w:pPr>
    </w:p>
    <w:p w14:paraId="6812D524" w14:textId="27A4F7C8" w:rsidR="00743416" w:rsidRDefault="00743416" w:rsidP="00720DAE">
      <w:pPr>
        <w:pStyle w:val="Ttulo2"/>
        <w:rPr>
          <w:lang w:val="es-CO"/>
        </w:rPr>
      </w:pPr>
      <w:bookmarkStart w:id="12" w:name="_Toc85474274"/>
      <w:bookmarkStart w:id="13" w:name="_Hlk85452756"/>
      <w:r w:rsidRPr="00C56B31">
        <w:rPr>
          <w:lang w:val="es-CO"/>
        </w:rPr>
        <w:t xml:space="preserve">Evaluación de la </w:t>
      </w:r>
      <w:r w:rsidR="00C56B31" w:rsidRPr="00C56B31">
        <w:rPr>
          <w:lang w:val="es-CO"/>
        </w:rPr>
        <w:t>heterogeneidad</w:t>
      </w:r>
      <w:r w:rsidRPr="00C56B31">
        <w:rPr>
          <w:lang w:val="es-CO"/>
        </w:rPr>
        <w:t xml:space="preserve"> y análisis adicionales</w:t>
      </w:r>
      <w:bookmarkEnd w:id="12"/>
    </w:p>
    <w:p w14:paraId="7EC2713E" w14:textId="77777777" w:rsidR="002D2D64" w:rsidRPr="002D2D64" w:rsidRDefault="002D2D64" w:rsidP="002D2D64">
      <w:pPr>
        <w:rPr>
          <w:lang w:val="es-CO"/>
        </w:rPr>
      </w:pPr>
    </w:p>
    <w:bookmarkEnd w:id="13"/>
    <w:p w14:paraId="557B1ED6" w14:textId="37B27791" w:rsidR="18D844C8" w:rsidRDefault="5141EA98" w:rsidP="002D2D64">
      <w:pPr>
        <w:spacing w:after="0" w:line="360" w:lineRule="auto"/>
        <w:ind w:firstLine="680"/>
        <w:jc w:val="both"/>
        <w:rPr>
          <w:rFonts w:ascii="Arial" w:eastAsia="Arial" w:hAnsi="Arial" w:cs="Arial"/>
          <w:color w:val="000000" w:themeColor="text1"/>
          <w:sz w:val="24"/>
          <w:szCs w:val="24"/>
          <w:lang w:val="es-CO"/>
        </w:rPr>
      </w:pPr>
      <w:r w:rsidRPr="005D3494">
        <w:rPr>
          <w:rFonts w:ascii="Arial" w:eastAsia="Arial" w:hAnsi="Arial" w:cs="Arial"/>
          <w:color w:val="000000" w:themeColor="text1"/>
          <w:sz w:val="24"/>
          <w:szCs w:val="24"/>
          <w:lang w:val="es-CO"/>
        </w:rPr>
        <w:t>Para analizar la heterogeneidad</w:t>
      </w:r>
      <w:r w:rsidR="00B26EFF">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xml:space="preserve"> se aplicó </w:t>
      </w:r>
      <w:r w:rsidRPr="005D3494">
        <w:rPr>
          <w:rFonts w:ascii="Arial" w:eastAsia="Arial" w:hAnsi="Arial" w:cs="Arial"/>
          <w:color w:val="000000" w:themeColor="text1"/>
          <w:sz w:val="24"/>
          <w:szCs w:val="24"/>
        </w:rPr>
        <w:t>la prueba de Chi</w:t>
      </w:r>
      <w:r w:rsidRPr="005D3494">
        <w:rPr>
          <w:rFonts w:ascii="Arial" w:eastAsia="Arial" w:hAnsi="Arial" w:cs="Arial"/>
          <w:color w:val="000000" w:themeColor="text1"/>
          <w:sz w:val="24"/>
          <w:szCs w:val="24"/>
          <w:vertAlign w:val="superscript"/>
        </w:rPr>
        <w:t>2</w:t>
      </w:r>
      <w:r w:rsidRPr="005D3494">
        <w:rPr>
          <w:rFonts w:ascii="Arial" w:eastAsia="Arial" w:hAnsi="Arial" w:cs="Arial"/>
          <w:color w:val="000000" w:themeColor="text1"/>
          <w:sz w:val="24"/>
          <w:szCs w:val="24"/>
        </w:rPr>
        <w:t xml:space="preserve"> </w:t>
      </w:r>
      <w:r w:rsidR="00112A88">
        <w:rPr>
          <w:rFonts w:ascii="Arial" w:eastAsia="Arial" w:hAnsi="Arial" w:cs="Arial"/>
          <w:color w:val="000000" w:themeColor="text1"/>
          <w:sz w:val="24"/>
          <w:szCs w:val="24"/>
        </w:rPr>
        <w:t>con</w:t>
      </w:r>
      <w:r w:rsidRPr="005D3494">
        <w:rPr>
          <w:rFonts w:ascii="Arial" w:eastAsia="Arial" w:hAnsi="Arial" w:cs="Arial"/>
          <w:color w:val="000000" w:themeColor="text1"/>
          <w:sz w:val="24"/>
          <w:szCs w:val="24"/>
        </w:rPr>
        <w:t xml:space="preserve"> N-1 grados de libertad, con un α de 0</w:t>
      </w:r>
      <w:r w:rsidR="000504A0">
        <w:rPr>
          <w:rFonts w:ascii="Arial" w:eastAsia="Arial" w:hAnsi="Arial" w:cs="Arial"/>
          <w:color w:val="000000" w:themeColor="text1"/>
          <w:sz w:val="24"/>
          <w:szCs w:val="24"/>
        </w:rPr>
        <w:t>.</w:t>
      </w:r>
      <w:r w:rsidRPr="005D3494">
        <w:rPr>
          <w:rFonts w:ascii="Arial" w:eastAsia="Arial" w:hAnsi="Arial" w:cs="Arial"/>
          <w:color w:val="000000" w:themeColor="text1"/>
          <w:sz w:val="24"/>
          <w:szCs w:val="24"/>
        </w:rPr>
        <w:t>05 utilizad</w:t>
      </w:r>
      <w:r w:rsidR="00B26EFF">
        <w:rPr>
          <w:rFonts w:ascii="Arial" w:eastAsia="Arial" w:hAnsi="Arial" w:cs="Arial"/>
          <w:color w:val="000000" w:themeColor="text1"/>
          <w:sz w:val="24"/>
          <w:szCs w:val="24"/>
        </w:rPr>
        <w:t>a</w:t>
      </w:r>
      <w:r w:rsidRPr="005D3494">
        <w:rPr>
          <w:rFonts w:ascii="Arial" w:eastAsia="Arial" w:hAnsi="Arial" w:cs="Arial"/>
          <w:color w:val="000000" w:themeColor="text1"/>
          <w:sz w:val="24"/>
          <w:szCs w:val="24"/>
        </w:rPr>
        <w:t xml:space="preserve"> para significación estadística y con la prueba I</w:t>
      </w:r>
      <w:r w:rsidRPr="005D3494">
        <w:rPr>
          <w:rFonts w:ascii="Arial" w:eastAsia="Arial" w:hAnsi="Arial" w:cs="Arial"/>
          <w:color w:val="000000" w:themeColor="text1"/>
          <w:sz w:val="24"/>
          <w:szCs w:val="24"/>
          <w:vertAlign w:val="superscript"/>
        </w:rPr>
        <w:t>2</w:t>
      </w:r>
      <w:r w:rsidRPr="005D3494">
        <w:rPr>
          <w:rFonts w:ascii="Arial" w:eastAsia="Arial" w:hAnsi="Arial" w:cs="Arial"/>
          <w:color w:val="000000" w:themeColor="text1"/>
          <w:sz w:val="24"/>
          <w:szCs w:val="24"/>
        </w:rPr>
        <w:t xml:space="preserve"> </w:t>
      </w:r>
      <w:r w:rsidRPr="00A50E6C">
        <w:rPr>
          <w:rFonts w:ascii="Arial" w:eastAsia="Arial" w:hAnsi="Arial" w:cs="Arial"/>
          <w:color w:val="000000" w:themeColor="text1"/>
          <w:sz w:val="24"/>
          <w:szCs w:val="24"/>
          <w:lang w:val="es-CO"/>
        </w:rPr>
        <w:t>(</w:t>
      </w:r>
      <w:r w:rsidR="004C2E5E" w:rsidRPr="00A50E6C">
        <w:rPr>
          <w:rFonts w:ascii="Arial" w:eastAsia="Arial" w:hAnsi="Arial" w:cs="Arial"/>
          <w:color w:val="000000" w:themeColor="text1"/>
          <w:sz w:val="24"/>
          <w:szCs w:val="24"/>
          <w:lang w:val="es-CO"/>
        </w:rPr>
        <w:t>1</w:t>
      </w:r>
      <w:r w:rsidR="005A473F">
        <w:rPr>
          <w:rFonts w:ascii="Arial" w:eastAsia="Arial" w:hAnsi="Arial" w:cs="Arial"/>
          <w:color w:val="000000" w:themeColor="text1"/>
          <w:sz w:val="24"/>
          <w:szCs w:val="24"/>
          <w:lang w:val="es-CO"/>
        </w:rPr>
        <w:t>2</w:t>
      </w:r>
      <w:r w:rsidRPr="005D3494">
        <w:rPr>
          <w:rFonts w:ascii="Arial" w:eastAsia="Arial" w:hAnsi="Arial" w:cs="Arial"/>
          <w:color w:val="000000" w:themeColor="text1"/>
          <w:sz w:val="24"/>
          <w:szCs w:val="24"/>
          <w:lang w:val="es-CO"/>
        </w:rPr>
        <w:t xml:space="preserve">). </w:t>
      </w:r>
      <w:r w:rsidR="002C7863">
        <w:rPr>
          <w:rFonts w:ascii="Arial" w:eastAsia="Arial" w:hAnsi="Arial" w:cs="Arial"/>
          <w:color w:val="000000" w:themeColor="text1"/>
          <w:sz w:val="24"/>
          <w:szCs w:val="24"/>
          <w:lang w:val="es-CO"/>
        </w:rPr>
        <w:t>Dada</w:t>
      </w:r>
      <w:r w:rsidRPr="005D3494">
        <w:rPr>
          <w:rFonts w:ascii="Arial" w:eastAsia="Arial" w:hAnsi="Arial" w:cs="Arial"/>
          <w:color w:val="000000" w:themeColor="text1"/>
          <w:sz w:val="24"/>
          <w:szCs w:val="24"/>
          <w:lang w:val="es-CO"/>
        </w:rPr>
        <w:t xml:space="preserve"> la heterogeneidad clínica</w:t>
      </w:r>
      <w:r w:rsidR="002C7863">
        <w:rPr>
          <w:rFonts w:ascii="Arial" w:eastAsia="Arial" w:hAnsi="Arial" w:cs="Arial"/>
          <w:color w:val="000000" w:themeColor="text1"/>
          <w:sz w:val="24"/>
          <w:szCs w:val="24"/>
          <w:lang w:val="es-CO"/>
        </w:rPr>
        <w:t xml:space="preserve"> esperada</w:t>
      </w:r>
      <w:r w:rsidRPr="005D3494">
        <w:rPr>
          <w:rFonts w:ascii="Arial" w:eastAsia="Arial" w:hAnsi="Arial" w:cs="Arial"/>
          <w:color w:val="000000" w:themeColor="text1"/>
          <w:sz w:val="24"/>
          <w:szCs w:val="24"/>
          <w:lang w:val="es-CO"/>
        </w:rPr>
        <w:t xml:space="preserve"> entre los estudios</w:t>
      </w:r>
      <w:r w:rsidR="00B26EFF">
        <w:rPr>
          <w:rFonts w:ascii="Arial" w:eastAsia="Arial" w:hAnsi="Arial" w:cs="Arial"/>
          <w:color w:val="000000" w:themeColor="text1"/>
          <w:sz w:val="24"/>
          <w:szCs w:val="24"/>
          <w:lang w:val="es-CO"/>
        </w:rPr>
        <w:t xml:space="preserve"> y</w:t>
      </w:r>
      <w:r w:rsidRPr="005D3494">
        <w:rPr>
          <w:rFonts w:ascii="Arial" w:eastAsia="Arial" w:hAnsi="Arial" w:cs="Arial"/>
          <w:color w:val="000000" w:themeColor="text1"/>
          <w:sz w:val="24"/>
          <w:szCs w:val="24"/>
          <w:lang w:val="es-CO"/>
        </w:rPr>
        <w:t xml:space="preserve"> debido a </w:t>
      </w:r>
      <w:r w:rsidR="00112A88">
        <w:rPr>
          <w:rFonts w:ascii="Arial" w:eastAsia="Arial" w:hAnsi="Arial" w:cs="Arial"/>
          <w:color w:val="000000" w:themeColor="text1"/>
          <w:sz w:val="24"/>
          <w:szCs w:val="24"/>
          <w:lang w:val="es-CO"/>
        </w:rPr>
        <w:t xml:space="preserve">las </w:t>
      </w:r>
      <w:r w:rsidRPr="005D3494">
        <w:rPr>
          <w:rFonts w:ascii="Arial" w:eastAsia="Arial" w:hAnsi="Arial" w:cs="Arial"/>
          <w:color w:val="000000" w:themeColor="text1"/>
          <w:sz w:val="24"/>
          <w:szCs w:val="24"/>
          <w:lang w:val="es-CO"/>
        </w:rPr>
        <w:t>diferentes causas de inmunodepresión secundaria</w:t>
      </w:r>
      <w:r w:rsidR="00112A88">
        <w:rPr>
          <w:rFonts w:ascii="Arial" w:eastAsia="Arial" w:hAnsi="Arial" w:cs="Arial"/>
          <w:color w:val="000000" w:themeColor="text1"/>
          <w:sz w:val="24"/>
          <w:szCs w:val="24"/>
          <w:lang w:val="es-CO"/>
        </w:rPr>
        <w:t xml:space="preserve"> incluidas</w:t>
      </w:r>
      <w:r w:rsidRPr="005D3494">
        <w:rPr>
          <w:rFonts w:ascii="Arial" w:eastAsia="Arial" w:hAnsi="Arial" w:cs="Arial"/>
          <w:color w:val="000000" w:themeColor="text1"/>
          <w:sz w:val="24"/>
          <w:szCs w:val="24"/>
          <w:lang w:val="es-CO"/>
        </w:rPr>
        <w:t xml:space="preserve">, </w:t>
      </w:r>
      <w:r w:rsidR="002C7863">
        <w:rPr>
          <w:rFonts w:ascii="Arial" w:eastAsia="Arial" w:hAnsi="Arial" w:cs="Arial"/>
          <w:color w:val="000000" w:themeColor="text1"/>
          <w:sz w:val="24"/>
          <w:szCs w:val="24"/>
          <w:lang w:val="es-CO"/>
        </w:rPr>
        <w:t xml:space="preserve">a priori </w:t>
      </w:r>
      <w:r w:rsidR="00097F58">
        <w:rPr>
          <w:rFonts w:ascii="Arial" w:eastAsia="Arial" w:hAnsi="Arial" w:cs="Arial"/>
          <w:color w:val="000000" w:themeColor="text1"/>
          <w:sz w:val="24"/>
          <w:szCs w:val="24"/>
          <w:lang w:val="es-CO"/>
        </w:rPr>
        <w:t xml:space="preserve">se decidió </w:t>
      </w:r>
      <w:r w:rsidRPr="005D3494">
        <w:rPr>
          <w:rFonts w:ascii="Arial" w:eastAsia="Arial" w:hAnsi="Arial" w:cs="Arial"/>
          <w:color w:val="000000" w:themeColor="text1"/>
          <w:sz w:val="24"/>
          <w:szCs w:val="24"/>
          <w:lang w:val="es-CO"/>
        </w:rPr>
        <w:t>combinar</w:t>
      </w:r>
      <w:r w:rsidR="002C7863">
        <w:rPr>
          <w:rFonts w:ascii="Arial" w:eastAsia="Arial" w:hAnsi="Arial" w:cs="Arial"/>
          <w:color w:val="000000" w:themeColor="text1"/>
          <w:sz w:val="24"/>
          <w:szCs w:val="24"/>
          <w:lang w:val="es-CO"/>
        </w:rPr>
        <w:t xml:space="preserve"> los resultados</w:t>
      </w:r>
      <w:r w:rsidRPr="005D3494">
        <w:rPr>
          <w:rFonts w:ascii="Arial" w:eastAsia="Arial" w:hAnsi="Arial" w:cs="Arial"/>
          <w:color w:val="000000" w:themeColor="text1"/>
          <w:sz w:val="24"/>
          <w:szCs w:val="24"/>
          <w:lang w:val="es-CO"/>
        </w:rPr>
        <w:t xml:space="preserve"> </w:t>
      </w:r>
      <w:r w:rsidR="002C7863">
        <w:rPr>
          <w:rFonts w:ascii="Arial" w:eastAsia="Arial" w:hAnsi="Arial" w:cs="Arial"/>
          <w:color w:val="000000" w:themeColor="text1"/>
          <w:sz w:val="24"/>
          <w:szCs w:val="24"/>
          <w:lang w:val="es-CO"/>
        </w:rPr>
        <w:t>con el</w:t>
      </w:r>
      <w:r w:rsidRPr="005D3494">
        <w:rPr>
          <w:rFonts w:ascii="Arial" w:eastAsia="Arial" w:hAnsi="Arial" w:cs="Arial"/>
          <w:color w:val="000000" w:themeColor="text1"/>
          <w:sz w:val="24"/>
          <w:szCs w:val="24"/>
          <w:lang w:val="es-CO"/>
        </w:rPr>
        <w:t xml:space="preserve"> modelo de efectos aleatorios a través del método de </w:t>
      </w:r>
      <w:r w:rsidRPr="00C16400">
        <w:rPr>
          <w:rFonts w:ascii="Arial" w:eastAsia="Arial" w:hAnsi="Arial" w:cs="Arial"/>
          <w:i/>
          <w:iCs/>
          <w:color w:val="000000" w:themeColor="text1"/>
          <w:sz w:val="24"/>
          <w:szCs w:val="24"/>
          <w:lang w:val="es-CO"/>
        </w:rPr>
        <w:t>DerSimonian-Laird</w:t>
      </w:r>
      <w:r w:rsidR="00B36851">
        <w:rPr>
          <w:rFonts w:ascii="Arial" w:eastAsia="Arial" w:hAnsi="Arial" w:cs="Arial"/>
          <w:color w:val="000000" w:themeColor="text1"/>
          <w:sz w:val="24"/>
          <w:szCs w:val="24"/>
          <w:lang w:val="es-CO"/>
        </w:rPr>
        <w:t xml:space="preserve"> (1</w:t>
      </w:r>
      <w:r w:rsidR="005A473F">
        <w:rPr>
          <w:rFonts w:ascii="Arial" w:eastAsia="Arial" w:hAnsi="Arial" w:cs="Arial"/>
          <w:color w:val="000000" w:themeColor="text1"/>
          <w:sz w:val="24"/>
          <w:szCs w:val="24"/>
          <w:lang w:val="es-CO"/>
        </w:rPr>
        <w:t>4</w:t>
      </w:r>
      <w:r w:rsidR="00B36851">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w:t>
      </w:r>
      <w:r w:rsidR="00B548E6">
        <w:rPr>
          <w:rFonts w:ascii="Arial" w:eastAsia="Arial" w:hAnsi="Arial" w:cs="Arial"/>
          <w:color w:val="000000" w:themeColor="text1"/>
          <w:sz w:val="24"/>
          <w:szCs w:val="24"/>
          <w:lang w:val="es-CO"/>
        </w:rPr>
        <w:t xml:space="preserve"> También</w:t>
      </w:r>
      <w:r w:rsidRPr="5141EA98">
        <w:rPr>
          <w:rFonts w:ascii="Arial" w:eastAsia="Arial" w:hAnsi="Arial" w:cs="Arial"/>
          <w:color w:val="000000" w:themeColor="text1"/>
          <w:sz w:val="24"/>
          <w:szCs w:val="24"/>
          <w:lang w:val="es-CO"/>
        </w:rPr>
        <w:t xml:space="preserve"> </w:t>
      </w:r>
      <w:r w:rsidR="00B26EFF">
        <w:rPr>
          <w:rFonts w:ascii="Arial" w:eastAsia="Arial" w:hAnsi="Arial" w:cs="Arial"/>
          <w:color w:val="000000" w:themeColor="text1"/>
          <w:sz w:val="24"/>
          <w:szCs w:val="24"/>
          <w:lang w:val="es-CO"/>
        </w:rPr>
        <w:t xml:space="preserve">se </w:t>
      </w:r>
      <w:r w:rsidRPr="5141EA98">
        <w:rPr>
          <w:rFonts w:ascii="Arial" w:eastAsia="Arial" w:hAnsi="Arial" w:cs="Arial"/>
          <w:color w:val="000000" w:themeColor="text1"/>
          <w:sz w:val="24"/>
          <w:szCs w:val="24"/>
          <w:lang w:val="es-CO"/>
        </w:rPr>
        <w:t>planteó</w:t>
      </w:r>
      <w:r w:rsidRPr="005D3494">
        <w:rPr>
          <w:rFonts w:ascii="Arial" w:eastAsia="Arial" w:hAnsi="Arial" w:cs="Arial"/>
          <w:color w:val="000000" w:themeColor="text1"/>
          <w:sz w:val="24"/>
          <w:szCs w:val="24"/>
          <w:lang w:val="es-CO"/>
        </w:rPr>
        <w:t xml:space="preserve"> realizar </w:t>
      </w:r>
      <w:r w:rsidR="00B26EFF">
        <w:rPr>
          <w:rFonts w:ascii="Arial" w:eastAsia="Arial" w:hAnsi="Arial" w:cs="Arial"/>
          <w:color w:val="000000" w:themeColor="text1"/>
          <w:sz w:val="24"/>
          <w:szCs w:val="24"/>
          <w:lang w:val="es-CO"/>
        </w:rPr>
        <w:t xml:space="preserve">un </w:t>
      </w:r>
      <w:r w:rsidRPr="005D3494">
        <w:rPr>
          <w:rFonts w:ascii="Arial" w:eastAsia="Arial" w:hAnsi="Arial" w:cs="Arial"/>
          <w:color w:val="000000" w:themeColor="text1"/>
          <w:sz w:val="24"/>
          <w:szCs w:val="24"/>
          <w:lang w:val="es-CO"/>
        </w:rPr>
        <w:t>análisis por subgrupos para explorar las fuentes de heterogeneidad</w:t>
      </w:r>
      <w:r w:rsidR="00B36851">
        <w:rPr>
          <w:rFonts w:ascii="Arial" w:eastAsia="Arial" w:hAnsi="Arial" w:cs="Arial"/>
          <w:color w:val="000000" w:themeColor="text1"/>
          <w:sz w:val="24"/>
          <w:szCs w:val="24"/>
          <w:lang w:val="es-CO"/>
        </w:rPr>
        <w:t xml:space="preserve"> (1</w:t>
      </w:r>
      <w:r w:rsidR="00CB606D">
        <w:rPr>
          <w:rFonts w:ascii="Arial" w:eastAsia="Arial" w:hAnsi="Arial" w:cs="Arial"/>
          <w:color w:val="000000" w:themeColor="text1"/>
          <w:sz w:val="24"/>
          <w:szCs w:val="24"/>
          <w:lang w:val="es-CO"/>
        </w:rPr>
        <w:t>4</w:t>
      </w:r>
      <w:r w:rsidR="00B36851">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lang w:val="es-CO"/>
        </w:rPr>
        <w:t xml:space="preserve"> según edad, causa de inmunodepresión, uso de tratamiento antirretroviral, niveles de linfocitos T CD4, tipo de órgano trasplantado</w:t>
      </w:r>
      <w:r w:rsidRPr="5141EA98">
        <w:rPr>
          <w:rFonts w:ascii="Arial" w:eastAsia="Arial" w:hAnsi="Arial" w:cs="Arial"/>
          <w:color w:val="000000" w:themeColor="text1"/>
          <w:sz w:val="24"/>
          <w:szCs w:val="24"/>
          <w:lang w:val="es-CO"/>
        </w:rPr>
        <w:t>. Adicionalmente</w:t>
      </w:r>
      <w:r w:rsidR="00B26EFF">
        <w:rPr>
          <w:rFonts w:ascii="Arial" w:eastAsia="Arial" w:hAnsi="Arial" w:cs="Arial"/>
          <w:color w:val="000000" w:themeColor="text1"/>
          <w:sz w:val="24"/>
          <w:szCs w:val="24"/>
          <w:lang w:val="es-CO"/>
        </w:rPr>
        <w:t>,</w:t>
      </w:r>
      <w:r w:rsidRPr="5141EA98">
        <w:rPr>
          <w:rFonts w:ascii="Arial" w:eastAsia="Arial" w:hAnsi="Arial" w:cs="Arial"/>
          <w:color w:val="000000" w:themeColor="text1"/>
          <w:sz w:val="24"/>
          <w:szCs w:val="24"/>
          <w:lang w:val="es-CO"/>
        </w:rPr>
        <w:t xml:space="preserve"> según el número de estudios incluidos, se planteó la realización de metarregresión</w:t>
      </w:r>
      <w:r w:rsidR="00724302">
        <w:rPr>
          <w:rFonts w:ascii="Arial" w:eastAsia="Arial" w:hAnsi="Arial" w:cs="Arial"/>
          <w:color w:val="000000" w:themeColor="text1"/>
          <w:sz w:val="24"/>
          <w:szCs w:val="24"/>
          <w:lang w:val="es-CO"/>
        </w:rPr>
        <w:t xml:space="preserve"> (1</w:t>
      </w:r>
      <w:r w:rsidR="005A473F">
        <w:rPr>
          <w:rFonts w:ascii="Arial" w:eastAsia="Arial" w:hAnsi="Arial" w:cs="Arial"/>
          <w:color w:val="000000" w:themeColor="text1"/>
          <w:sz w:val="24"/>
          <w:szCs w:val="24"/>
          <w:lang w:val="es-CO"/>
        </w:rPr>
        <w:t>6</w:t>
      </w:r>
      <w:r w:rsidR="00724302">
        <w:rPr>
          <w:rFonts w:ascii="Arial" w:eastAsia="Arial" w:hAnsi="Arial" w:cs="Arial"/>
          <w:color w:val="000000" w:themeColor="text1"/>
          <w:sz w:val="24"/>
          <w:szCs w:val="24"/>
          <w:lang w:val="es-CO"/>
        </w:rPr>
        <w:t>)</w:t>
      </w:r>
      <w:r w:rsidRPr="5141EA98">
        <w:rPr>
          <w:rFonts w:ascii="Arial" w:eastAsia="Arial" w:hAnsi="Arial" w:cs="Arial"/>
          <w:color w:val="000000" w:themeColor="text1"/>
          <w:sz w:val="24"/>
          <w:szCs w:val="24"/>
          <w:lang w:val="es-CO"/>
        </w:rPr>
        <w:t xml:space="preserve"> </w:t>
      </w:r>
      <w:r w:rsidR="00743416">
        <w:rPr>
          <w:rFonts w:ascii="Arial" w:eastAsia="Arial" w:hAnsi="Arial" w:cs="Arial"/>
          <w:color w:val="000000" w:themeColor="text1"/>
          <w:sz w:val="24"/>
          <w:szCs w:val="24"/>
          <w:lang w:val="es-CO"/>
        </w:rPr>
        <w:t>ajustando por las</w:t>
      </w:r>
      <w:r w:rsidRPr="5141EA98">
        <w:rPr>
          <w:rFonts w:ascii="Arial" w:eastAsia="Arial" w:hAnsi="Arial" w:cs="Arial"/>
          <w:color w:val="000000" w:themeColor="text1"/>
          <w:sz w:val="24"/>
          <w:szCs w:val="24"/>
          <w:lang w:val="es-CO"/>
        </w:rPr>
        <w:t xml:space="preserve"> variables cuantitativas </w:t>
      </w:r>
      <w:r w:rsidR="00B26EFF">
        <w:rPr>
          <w:rFonts w:ascii="Arial" w:eastAsia="Arial" w:hAnsi="Arial" w:cs="Arial"/>
          <w:color w:val="000000" w:themeColor="text1"/>
          <w:sz w:val="24"/>
          <w:szCs w:val="24"/>
          <w:lang w:val="es-CO"/>
        </w:rPr>
        <w:t xml:space="preserve">de </w:t>
      </w:r>
      <w:r w:rsidRPr="5141EA98">
        <w:rPr>
          <w:rFonts w:ascii="Arial" w:eastAsia="Arial" w:hAnsi="Arial" w:cs="Arial"/>
          <w:color w:val="000000" w:themeColor="text1"/>
          <w:sz w:val="24"/>
          <w:szCs w:val="24"/>
          <w:lang w:val="es-CO"/>
        </w:rPr>
        <w:t>edad y tiempo de seguimiento</w:t>
      </w:r>
      <w:r w:rsidR="00743416">
        <w:rPr>
          <w:rFonts w:ascii="Arial" w:eastAsia="Arial" w:hAnsi="Arial" w:cs="Arial"/>
          <w:color w:val="000000" w:themeColor="text1"/>
          <w:sz w:val="24"/>
          <w:szCs w:val="24"/>
          <w:lang w:val="es-CO"/>
        </w:rPr>
        <w:t xml:space="preserve"> para evaluar </w:t>
      </w:r>
      <w:r w:rsidR="00B26EFF">
        <w:rPr>
          <w:rFonts w:ascii="Arial" w:eastAsia="Arial" w:hAnsi="Arial" w:cs="Arial"/>
          <w:color w:val="000000" w:themeColor="text1"/>
          <w:sz w:val="24"/>
          <w:szCs w:val="24"/>
          <w:lang w:val="es-CO"/>
        </w:rPr>
        <w:t>su</w:t>
      </w:r>
      <w:r w:rsidR="00743416">
        <w:rPr>
          <w:rFonts w:ascii="Arial" w:eastAsia="Arial" w:hAnsi="Arial" w:cs="Arial"/>
          <w:color w:val="000000" w:themeColor="text1"/>
          <w:sz w:val="24"/>
          <w:szCs w:val="24"/>
          <w:lang w:val="es-CO"/>
        </w:rPr>
        <w:t xml:space="preserve"> impacto en las medidas del efecto en el desenlace principal</w:t>
      </w:r>
      <w:r w:rsidRPr="5141EA98">
        <w:rPr>
          <w:rFonts w:ascii="Arial" w:eastAsia="Arial" w:hAnsi="Arial" w:cs="Arial"/>
          <w:color w:val="000000" w:themeColor="text1"/>
          <w:sz w:val="24"/>
          <w:szCs w:val="24"/>
          <w:lang w:val="es-CO"/>
        </w:rPr>
        <w:t xml:space="preserve">. </w:t>
      </w:r>
      <w:r w:rsidR="000B6357" w:rsidRPr="00081C8F">
        <w:rPr>
          <w:rFonts w:ascii="Arial" w:eastAsia="Arial" w:hAnsi="Arial" w:cs="Arial"/>
          <w:color w:val="000000" w:themeColor="text1"/>
          <w:sz w:val="24"/>
          <w:szCs w:val="24"/>
          <w:lang w:val="es-CO"/>
        </w:rPr>
        <w:t>Así mismo, al análisis de sensibilidad</w:t>
      </w:r>
      <w:r w:rsidR="00324A29" w:rsidRPr="00081C8F">
        <w:rPr>
          <w:rFonts w:ascii="Arial" w:eastAsia="Arial" w:hAnsi="Arial" w:cs="Arial"/>
          <w:color w:val="000000" w:themeColor="text1"/>
          <w:sz w:val="24"/>
          <w:szCs w:val="24"/>
          <w:lang w:val="es-CO"/>
        </w:rPr>
        <w:t xml:space="preserve"> (12)</w:t>
      </w:r>
      <w:r w:rsidR="000B6357" w:rsidRPr="00081C8F">
        <w:rPr>
          <w:rFonts w:ascii="Arial" w:eastAsia="Arial" w:hAnsi="Arial" w:cs="Arial"/>
          <w:color w:val="000000" w:themeColor="text1"/>
          <w:sz w:val="24"/>
          <w:szCs w:val="24"/>
          <w:lang w:val="es-CO"/>
        </w:rPr>
        <w:t xml:space="preserve"> se planteó </w:t>
      </w:r>
      <w:r w:rsidR="00324A29" w:rsidRPr="00081C8F">
        <w:rPr>
          <w:rFonts w:ascii="Arial" w:eastAsia="Arial" w:hAnsi="Arial" w:cs="Arial"/>
          <w:color w:val="000000" w:themeColor="text1"/>
          <w:sz w:val="24"/>
          <w:szCs w:val="24"/>
          <w:lang w:val="es-CO"/>
        </w:rPr>
        <w:t xml:space="preserve">planificar </w:t>
      </w:r>
      <w:r w:rsidR="000B6357" w:rsidRPr="00081C8F">
        <w:rPr>
          <w:rFonts w:ascii="Arial" w:eastAsia="Arial" w:hAnsi="Arial" w:cs="Arial"/>
          <w:color w:val="000000" w:themeColor="text1"/>
          <w:sz w:val="24"/>
          <w:szCs w:val="24"/>
          <w:lang w:val="es-CO"/>
        </w:rPr>
        <w:t>posterior al proceso de revisión tras identificar las peculiaridades individuales de los estudios bajo investigación.</w:t>
      </w:r>
    </w:p>
    <w:p w14:paraId="29607708" w14:textId="77777777" w:rsidR="00854950" w:rsidRDefault="00854950">
      <w:pPr>
        <w:spacing w:after="0" w:line="360" w:lineRule="auto"/>
        <w:jc w:val="both"/>
        <w:rPr>
          <w:rFonts w:ascii="Arial" w:eastAsia="Arial" w:hAnsi="Arial" w:cs="Arial"/>
          <w:color w:val="000000" w:themeColor="text1"/>
          <w:sz w:val="24"/>
          <w:szCs w:val="24"/>
        </w:rPr>
      </w:pPr>
    </w:p>
    <w:p w14:paraId="15CF7F85" w14:textId="70D7AE87" w:rsidR="18D844C8" w:rsidRDefault="5141EA98" w:rsidP="00720DAE">
      <w:pPr>
        <w:pStyle w:val="Ttulo2"/>
      </w:pPr>
      <w:bookmarkStart w:id="14" w:name="_Toc85474275"/>
      <w:r w:rsidRPr="005D3494">
        <w:rPr>
          <w:lang w:val="es-CO"/>
        </w:rPr>
        <w:t>Evaluación de la certeza</w:t>
      </w:r>
      <w:bookmarkEnd w:id="14"/>
      <w:r w:rsidRPr="005D3494">
        <w:t xml:space="preserve"> </w:t>
      </w:r>
    </w:p>
    <w:p w14:paraId="1D4F5A3F" w14:textId="77777777" w:rsidR="007554DA" w:rsidRPr="007554DA" w:rsidRDefault="007554DA" w:rsidP="007554DA"/>
    <w:p w14:paraId="3F863F3A" w14:textId="1D42600D" w:rsidR="18D844C8" w:rsidRDefault="5141EA98" w:rsidP="007554DA">
      <w:pPr>
        <w:spacing w:after="0" w:line="360" w:lineRule="auto"/>
        <w:ind w:firstLine="680"/>
        <w:jc w:val="both"/>
        <w:rPr>
          <w:rFonts w:ascii="Arial" w:eastAsia="Arial" w:hAnsi="Arial" w:cs="Arial"/>
          <w:color w:val="000000" w:themeColor="text1"/>
          <w:sz w:val="24"/>
          <w:szCs w:val="24"/>
        </w:rPr>
      </w:pPr>
      <w:r w:rsidRPr="005D3494">
        <w:rPr>
          <w:rFonts w:ascii="Arial" w:eastAsia="Arial" w:hAnsi="Arial" w:cs="Arial"/>
          <w:color w:val="000000" w:themeColor="text1"/>
          <w:sz w:val="24"/>
          <w:szCs w:val="24"/>
          <w:lang w:val="es-CO"/>
        </w:rPr>
        <w:t xml:space="preserve">Se </w:t>
      </w:r>
      <w:r w:rsidR="00097F58">
        <w:rPr>
          <w:rFonts w:ascii="Arial" w:eastAsia="Arial" w:hAnsi="Arial" w:cs="Arial"/>
          <w:color w:val="000000" w:themeColor="text1"/>
          <w:sz w:val="24"/>
          <w:szCs w:val="24"/>
          <w:lang w:val="es-CO"/>
        </w:rPr>
        <w:t xml:space="preserve">utilizó el </w:t>
      </w:r>
      <w:r w:rsidRPr="005D3494">
        <w:rPr>
          <w:rFonts w:ascii="Arial" w:eastAsia="Arial" w:hAnsi="Arial" w:cs="Arial"/>
          <w:color w:val="000000" w:themeColor="text1"/>
          <w:sz w:val="24"/>
          <w:szCs w:val="24"/>
          <w:lang w:val="es-CO"/>
        </w:rPr>
        <w:t>enfoque GRADE</w:t>
      </w:r>
      <w:r w:rsidRPr="5141EA98">
        <w:rPr>
          <w:rFonts w:ascii="Arial" w:eastAsia="Arial" w:hAnsi="Arial" w:cs="Arial"/>
          <w:color w:val="000000" w:themeColor="text1"/>
          <w:sz w:val="24"/>
          <w:szCs w:val="24"/>
          <w:lang w:val="es-CO"/>
        </w:rPr>
        <w:t xml:space="preserve"> (6)</w:t>
      </w:r>
      <w:r w:rsidRPr="005D3494">
        <w:rPr>
          <w:rFonts w:ascii="Arial" w:eastAsia="Arial" w:hAnsi="Arial" w:cs="Arial"/>
          <w:color w:val="000000" w:themeColor="text1"/>
          <w:sz w:val="24"/>
          <w:szCs w:val="24"/>
          <w:lang w:val="es-CO"/>
        </w:rPr>
        <w:t xml:space="preserve"> </w:t>
      </w:r>
      <w:r w:rsidR="00CB606D" w:rsidRPr="0017293E">
        <w:rPr>
          <w:rFonts w:ascii="Arial" w:eastAsia="Arial" w:hAnsi="Arial" w:cs="Arial"/>
          <w:sz w:val="24"/>
          <w:szCs w:val="24"/>
        </w:rPr>
        <w:t xml:space="preserve">empleando la aplicación </w:t>
      </w:r>
      <w:r w:rsidR="00CB606D" w:rsidRPr="00E24416">
        <w:rPr>
          <w:rFonts w:ascii="Arial" w:eastAsia="Arial" w:hAnsi="Arial" w:cs="Arial"/>
          <w:sz w:val="24"/>
          <w:szCs w:val="24"/>
        </w:rPr>
        <w:t>GRADEpro</w:t>
      </w:r>
      <w:r w:rsidR="00CB606D" w:rsidRPr="0017293E">
        <w:rPr>
          <w:rFonts w:ascii="Arial" w:eastAsia="Arial" w:hAnsi="Arial" w:cs="Arial"/>
          <w:sz w:val="24"/>
          <w:szCs w:val="24"/>
        </w:rPr>
        <w:t xml:space="preserve"> GDT 2021 (</w:t>
      </w:r>
      <w:hyperlink r:id="rId10">
        <w:r w:rsidR="00CB606D" w:rsidRPr="0017293E">
          <w:rPr>
            <w:rStyle w:val="Hipervnculo"/>
            <w:rFonts w:ascii="Arial" w:eastAsia="Arial" w:hAnsi="Arial" w:cs="Arial"/>
            <w:color w:val="000000" w:themeColor="text1"/>
            <w:sz w:val="24"/>
            <w:szCs w:val="24"/>
            <w:u w:val="none"/>
          </w:rPr>
          <w:t>https://gdt.gradepro.org/</w:t>
        </w:r>
      </w:hyperlink>
      <w:r w:rsidR="00CB606D" w:rsidRPr="0017293E">
        <w:rPr>
          <w:rFonts w:ascii="Arial" w:eastAsia="Arial" w:hAnsi="Arial" w:cs="Arial"/>
          <w:color w:val="000000" w:themeColor="text1"/>
          <w:sz w:val="24"/>
          <w:szCs w:val="24"/>
        </w:rPr>
        <w:t>)</w:t>
      </w:r>
      <w:r w:rsidR="00CB606D">
        <w:rPr>
          <w:rFonts w:ascii="Arial" w:eastAsia="Arial" w:hAnsi="Arial" w:cs="Arial"/>
          <w:color w:val="000000" w:themeColor="text1"/>
          <w:sz w:val="24"/>
          <w:szCs w:val="24"/>
        </w:rPr>
        <w:t xml:space="preserve"> y </w:t>
      </w:r>
      <w:r w:rsidRPr="005D3494">
        <w:rPr>
          <w:rFonts w:ascii="Arial" w:eastAsia="Arial" w:hAnsi="Arial" w:cs="Arial"/>
          <w:color w:val="000000" w:themeColor="text1"/>
          <w:sz w:val="24"/>
          <w:szCs w:val="24"/>
          <w:lang w:val="es-CO"/>
        </w:rPr>
        <w:t>considerando los cinco dominios: riesgo de sesgo, inconsistencia, evidencia indirecta, imprecisión de resultados y sesgo de publicación. Se asumió que el cuerpo de evidencia de</w:t>
      </w:r>
      <w:r w:rsidRPr="5141EA98">
        <w:rPr>
          <w:rFonts w:ascii="Arial" w:eastAsia="Arial" w:hAnsi="Arial" w:cs="Arial"/>
          <w:color w:val="000000" w:themeColor="text1"/>
          <w:sz w:val="24"/>
          <w:szCs w:val="24"/>
          <w:lang w:val="es-CO"/>
        </w:rPr>
        <w:t xml:space="preserve"> lo</w:t>
      </w:r>
      <w:r w:rsidRPr="005D3494">
        <w:rPr>
          <w:rFonts w:ascii="Arial" w:eastAsia="Arial" w:hAnsi="Arial" w:cs="Arial"/>
          <w:color w:val="000000" w:themeColor="text1"/>
          <w:sz w:val="24"/>
          <w:szCs w:val="24"/>
          <w:lang w:val="es-CO"/>
        </w:rPr>
        <w:t>s</w:t>
      </w:r>
      <w:r w:rsidRPr="5141EA98">
        <w:rPr>
          <w:rFonts w:ascii="Arial" w:eastAsia="Arial" w:hAnsi="Arial" w:cs="Arial"/>
          <w:color w:val="000000" w:themeColor="text1"/>
          <w:sz w:val="24"/>
          <w:szCs w:val="24"/>
          <w:lang w:val="es-CO"/>
        </w:rPr>
        <w:t xml:space="preserve"> ECA</w:t>
      </w:r>
      <w:r w:rsidRPr="005D3494">
        <w:rPr>
          <w:rFonts w:ascii="Arial" w:eastAsia="Arial" w:hAnsi="Arial" w:cs="Arial"/>
          <w:color w:val="000000" w:themeColor="text1"/>
          <w:sz w:val="24"/>
          <w:szCs w:val="24"/>
          <w:lang w:val="es-CO"/>
        </w:rPr>
        <w:t xml:space="preserve"> comienza con una calificación de certeza alta, lo mismo que el cuerpo de evidencia de estudios observacionales evaluados con </w:t>
      </w:r>
      <w:r w:rsidRPr="00C16400">
        <w:rPr>
          <w:rFonts w:ascii="Arial" w:eastAsia="Arial" w:hAnsi="Arial" w:cs="Arial"/>
          <w:color w:val="000000" w:themeColor="text1"/>
          <w:sz w:val="24"/>
          <w:szCs w:val="24"/>
          <w:lang w:val="es-CO"/>
        </w:rPr>
        <w:t>ROBINS-I</w:t>
      </w:r>
      <w:r w:rsidRPr="005D3494">
        <w:rPr>
          <w:rFonts w:ascii="Arial" w:eastAsia="Arial" w:hAnsi="Arial" w:cs="Arial"/>
          <w:color w:val="000000" w:themeColor="text1"/>
          <w:sz w:val="24"/>
          <w:szCs w:val="24"/>
          <w:lang w:val="es-CO"/>
        </w:rPr>
        <w:t xml:space="preserve"> inician con una calificación de certeza alta (</w:t>
      </w:r>
      <w:r w:rsidR="00D13411" w:rsidRPr="005D3494">
        <w:rPr>
          <w:rFonts w:ascii="Arial" w:eastAsia="Arial" w:hAnsi="Arial" w:cs="Arial"/>
          <w:color w:val="000000" w:themeColor="text1"/>
          <w:sz w:val="24"/>
          <w:szCs w:val="24"/>
          <w:lang w:val="es-CO"/>
        </w:rPr>
        <w:t>considera</w:t>
      </w:r>
      <w:r w:rsidR="00D13411">
        <w:rPr>
          <w:rFonts w:ascii="Arial" w:eastAsia="Arial" w:hAnsi="Arial" w:cs="Arial"/>
          <w:color w:val="000000" w:themeColor="text1"/>
          <w:sz w:val="24"/>
          <w:szCs w:val="24"/>
          <w:lang w:val="es-CO"/>
        </w:rPr>
        <w:t>ndo</w:t>
      </w:r>
      <w:r w:rsidR="00D13411" w:rsidRPr="005D3494">
        <w:rPr>
          <w:rFonts w:ascii="Arial" w:eastAsia="Arial" w:hAnsi="Arial" w:cs="Arial"/>
          <w:color w:val="000000" w:themeColor="text1"/>
          <w:sz w:val="24"/>
          <w:szCs w:val="24"/>
          <w:lang w:val="es-CO"/>
        </w:rPr>
        <w:t xml:space="preserve"> </w:t>
      </w:r>
      <w:r w:rsidRPr="005D3494">
        <w:rPr>
          <w:rFonts w:ascii="Arial" w:eastAsia="Arial" w:hAnsi="Arial" w:cs="Arial"/>
          <w:color w:val="000000" w:themeColor="text1"/>
          <w:sz w:val="24"/>
          <w:szCs w:val="24"/>
          <w:lang w:val="es-CO"/>
        </w:rPr>
        <w:t>los criterios de magnitud del efecto, dosis-respuesta y confusión residual</w:t>
      </w:r>
      <w:r w:rsidR="00D13411">
        <w:rPr>
          <w:rFonts w:ascii="Arial" w:eastAsia="Arial" w:hAnsi="Arial" w:cs="Arial"/>
          <w:color w:val="000000" w:themeColor="text1"/>
          <w:sz w:val="24"/>
          <w:szCs w:val="24"/>
          <w:lang w:val="es-CO"/>
        </w:rPr>
        <w:t xml:space="preserve"> plausible</w:t>
      </w:r>
      <w:r w:rsidRPr="005D3494">
        <w:rPr>
          <w:rFonts w:ascii="Arial" w:eastAsia="Arial" w:hAnsi="Arial" w:cs="Arial"/>
          <w:color w:val="000000" w:themeColor="text1"/>
          <w:sz w:val="24"/>
          <w:szCs w:val="24"/>
          <w:lang w:val="es-CO"/>
        </w:rPr>
        <w:t>).</w:t>
      </w:r>
      <w:r w:rsidRPr="005D3494">
        <w:rPr>
          <w:rFonts w:ascii="Arial" w:eastAsia="Arial" w:hAnsi="Arial" w:cs="Arial"/>
          <w:color w:val="000000" w:themeColor="text1"/>
          <w:sz w:val="24"/>
          <w:szCs w:val="24"/>
        </w:rPr>
        <w:t xml:space="preserve"> </w:t>
      </w:r>
    </w:p>
    <w:p w14:paraId="35196743" w14:textId="701B859F" w:rsidR="18D844C8" w:rsidRDefault="00B548E6" w:rsidP="007554DA">
      <w:pPr>
        <w:pStyle w:val="Ttulo1"/>
        <w:jc w:val="center"/>
        <w:rPr>
          <w:lang w:val="es-CO"/>
        </w:rPr>
      </w:pPr>
      <w:bookmarkStart w:id="15" w:name="_Toc85474276"/>
      <w:r w:rsidRPr="005D3494">
        <w:rPr>
          <w:lang w:val="es-CO"/>
        </w:rPr>
        <w:lastRenderedPageBreak/>
        <w:t>Resultados</w:t>
      </w:r>
      <w:bookmarkEnd w:id="15"/>
    </w:p>
    <w:p w14:paraId="7838832B" w14:textId="77777777" w:rsidR="00A85171" w:rsidRDefault="00A85171" w:rsidP="00D32DCC">
      <w:pPr>
        <w:spacing w:after="0" w:line="257" w:lineRule="auto"/>
        <w:jc w:val="both"/>
        <w:rPr>
          <w:rFonts w:ascii="Arial" w:eastAsia="Arial" w:hAnsi="Arial" w:cs="Arial"/>
          <w:color w:val="000000" w:themeColor="text1"/>
          <w:sz w:val="24"/>
          <w:szCs w:val="24"/>
          <w:lang w:val="es-CO"/>
        </w:rPr>
      </w:pPr>
    </w:p>
    <w:p w14:paraId="7C836260" w14:textId="5515BA42" w:rsidR="538C4EBD" w:rsidRDefault="5141EA98" w:rsidP="00720DAE">
      <w:pPr>
        <w:pStyle w:val="Ttulo2"/>
        <w:rPr>
          <w:lang w:val="es-CO"/>
        </w:rPr>
      </w:pPr>
      <w:bookmarkStart w:id="16" w:name="_Toc85474277"/>
      <w:r w:rsidRPr="5141EA98">
        <w:rPr>
          <w:lang w:val="es-CO"/>
        </w:rPr>
        <w:t>Selección de estudios</w:t>
      </w:r>
      <w:bookmarkEnd w:id="16"/>
    </w:p>
    <w:p w14:paraId="3D9756A2" w14:textId="77777777" w:rsidR="007554DA" w:rsidRPr="007554DA" w:rsidRDefault="007554DA" w:rsidP="007554DA">
      <w:pPr>
        <w:rPr>
          <w:lang w:val="es-CO"/>
        </w:rPr>
      </w:pPr>
    </w:p>
    <w:p w14:paraId="1AC7BF11" w14:textId="2C8028DA" w:rsidR="20D66459" w:rsidRDefault="00D63936" w:rsidP="007554DA">
      <w:pPr>
        <w:spacing w:after="0" w:line="360" w:lineRule="auto"/>
        <w:ind w:firstLine="680"/>
        <w:jc w:val="both"/>
        <w:rPr>
          <w:rFonts w:ascii="Arial" w:eastAsia="Arial" w:hAnsi="Arial" w:cs="Arial"/>
          <w:color w:val="000000" w:themeColor="text1"/>
          <w:sz w:val="24"/>
          <w:szCs w:val="24"/>
          <w:lang w:val="es-CO"/>
        </w:rPr>
      </w:pPr>
      <w:r>
        <w:rPr>
          <w:rFonts w:ascii="Arial" w:eastAsia="Arial" w:hAnsi="Arial" w:cs="Arial"/>
          <w:color w:val="000000" w:themeColor="text1"/>
          <w:sz w:val="24"/>
          <w:szCs w:val="24"/>
          <w:lang w:val="es-CO"/>
        </w:rPr>
        <w:t>De</w:t>
      </w:r>
      <w:r w:rsidRPr="005D3494">
        <w:rPr>
          <w:rFonts w:ascii="Arial" w:eastAsia="Arial" w:hAnsi="Arial" w:cs="Arial"/>
          <w:color w:val="000000" w:themeColor="text1"/>
          <w:sz w:val="24"/>
          <w:szCs w:val="24"/>
          <w:lang w:val="es-CO"/>
        </w:rPr>
        <w:t xml:space="preserve"> </w:t>
      </w:r>
      <w:r w:rsidR="5141EA98" w:rsidRPr="005D3494">
        <w:rPr>
          <w:rFonts w:ascii="Arial" w:eastAsia="Arial" w:hAnsi="Arial" w:cs="Arial"/>
          <w:color w:val="000000" w:themeColor="text1"/>
          <w:sz w:val="24"/>
          <w:szCs w:val="24"/>
          <w:lang w:val="es-CO"/>
        </w:rPr>
        <w:t>la búsqueda</w:t>
      </w:r>
      <w:r w:rsidR="5141EA98" w:rsidRPr="5141EA98">
        <w:rPr>
          <w:rFonts w:ascii="Arial" w:eastAsia="Arial" w:hAnsi="Arial" w:cs="Arial"/>
          <w:color w:val="000000" w:themeColor="text1"/>
          <w:sz w:val="24"/>
          <w:szCs w:val="24"/>
          <w:lang w:val="es-CO"/>
        </w:rPr>
        <w:t xml:space="preserve"> sistemática </w:t>
      </w:r>
      <w:r w:rsidR="00097F58">
        <w:rPr>
          <w:rFonts w:ascii="Arial" w:eastAsia="Arial" w:hAnsi="Arial" w:cs="Arial"/>
          <w:color w:val="000000" w:themeColor="text1"/>
          <w:sz w:val="24"/>
          <w:szCs w:val="24"/>
          <w:lang w:val="es-CO"/>
        </w:rPr>
        <w:t>se obtuvieron 8,788 artículos</w:t>
      </w:r>
      <w:r w:rsidR="00B26EFF">
        <w:rPr>
          <w:rFonts w:ascii="Arial" w:eastAsia="Arial" w:hAnsi="Arial" w:cs="Arial"/>
          <w:color w:val="000000" w:themeColor="text1"/>
          <w:sz w:val="24"/>
          <w:szCs w:val="24"/>
          <w:lang w:val="es-CO"/>
        </w:rPr>
        <w:t>.</w:t>
      </w:r>
      <w:r w:rsidR="5141EA98" w:rsidRPr="5141EA98">
        <w:rPr>
          <w:rFonts w:ascii="Arial" w:eastAsia="Arial" w:hAnsi="Arial" w:cs="Arial"/>
          <w:color w:val="000000" w:themeColor="text1"/>
          <w:sz w:val="24"/>
          <w:szCs w:val="24"/>
          <w:lang w:val="es-CO"/>
        </w:rPr>
        <w:t xml:space="preserve"> </w:t>
      </w:r>
      <w:r w:rsidR="00B26EFF">
        <w:rPr>
          <w:rFonts w:ascii="Arial" w:eastAsia="Arial" w:hAnsi="Arial" w:cs="Arial"/>
          <w:color w:val="000000" w:themeColor="text1"/>
          <w:sz w:val="24"/>
          <w:szCs w:val="24"/>
          <w:lang w:val="es-CO"/>
        </w:rPr>
        <w:t>D</w:t>
      </w:r>
      <w:r w:rsidR="5141EA98" w:rsidRPr="5141EA98">
        <w:rPr>
          <w:rFonts w:ascii="Arial" w:eastAsia="Arial" w:hAnsi="Arial" w:cs="Arial"/>
          <w:color w:val="000000" w:themeColor="text1"/>
          <w:sz w:val="24"/>
          <w:szCs w:val="24"/>
          <w:lang w:val="es-CO"/>
        </w:rPr>
        <w:t>espués de excluir los duplicados,</w:t>
      </w:r>
      <w:r w:rsidR="5141EA98" w:rsidRPr="005D3494">
        <w:rPr>
          <w:rFonts w:ascii="Arial" w:eastAsia="Arial" w:hAnsi="Arial" w:cs="Arial"/>
          <w:color w:val="000000" w:themeColor="text1"/>
          <w:sz w:val="24"/>
          <w:szCs w:val="24"/>
          <w:lang w:val="es-CO"/>
        </w:rPr>
        <w:t xml:space="preserve"> se </w:t>
      </w:r>
      <w:r w:rsidR="5141EA98" w:rsidRPr="5141EA98">
        <w:rPr>
          <w:rFonts w:ascii="Arial" w:eastAsia="Arial" w:hAnsi="Arial" w:cs="Arial"/>
          <w:color w:val="000000" w:themeColor="text1"/>
          <w:sz w:val="24"/>
          <w:szCs w:val="24"/>
          <w:lang w:val="es-CO"/>
        </w:rPr>
        <w:t>identificaron 6</w:t>
      </w:r>
      <w:r w:rsidR="00975AAA">
        <w:rPr>
          <w:rFonts w:ascii="Arial" w:eastAsia="Arial" w:hAnsi="Arial" w:cs="Arial"/>
          <w:color w:val="000000" w:themeColor="text1"/>
          <w:sz w:val="24"/>
          <w:szCs w:val="24"/>
          <w:lang w:val="es-CO"/>
        </w:rPr>
        <w:t>,</w:t>
      </w:r>
      <w:r w:rsidR="00097F58">
        <w:rPr>
          <w:rFonts w:ascii="Arial" w:eastAsia="Arial" w:hAnsi="Arial" w:cs="Arial"/>
          <w:color w:val="000000" w:themeColor="text1"/>
          <w:sz w:val="24"/>
          <w:szCs w:val="24"/>
          <w:lang w:val="es-CO"/>
        </w:rPr>
        <w:t>67</w:t>
      </w:r>
      <w:r w:rsidR="5141EA98" w:rsidRPr="5141EA98">
        <w:rPr>
          <w:rFonts w:ascii="Arial" w:eastAsia="Arial" w:hAnsi="Arial" w:cs="Arial"/>
          <w:color w:val="000000" w:themeColor="text1"/>
          <w:sz w:val="24"/>
          <w:szCs w:val="24"/>
          <w:lang w:val="es-CO"/>
        </w:rPr>
        <w:t>1 títulos y resúmenes</w:t>
      </w:r>
      <w:r>
        <w:rPr>
          <w:rFonts w:ascii="Arial" w:eastAsia="Arial" w:hAnsi="Arial" w:cs="Arial"/>
          <w:color w:val="000000" w:themeColor="text1"/>
          <w:sz w:val="24"/>
          <w:szCs w:val="24"/>
          <w:lang w:val="es-CO"/>
        </w:rPr>
        <w:t>,</w:t>
      </w:r>
      <w:r w:rsidR="5141EA98" w:rsidRPr="5141EA98">
        <w:rPr>
          <w:rFonts w:ascii="Arial" w:eastAsia="Arial" w:hAnsi="Arial" w:cs="Arial"/>
          <w:color w:val="000000" w:themeColor="text1"/>
          <w:sz w:val="24"/>
          <w:szCs w:val="24"/>
          <w:lang w:val="es-CO"/>
        </w:rPr>
        <w:t xml:space="preserve"> de</w:t>
      </w:r>
      <w:r w:rsidR="5141EA98" w:rsidRPr="005D3494">
        <w:rPr>
          <w:rFonts w:ascii="Arial" w:eastAsia="Arial" w:hAnsi="Arial" w:cs="Arial"/>
          <w:color w:val="000000" w:themeColor="text1"/>
          <w:sz w:val="24"/>
          <w:szCs w:val="24"/>
          <w:lang w:val="es-CO"/>
        </w:rPr>
        <w:t xml:space="preserve"> los cuales fueron elegibles 46 artículos para la revisión de texto completo</w:t>
      </w:r>
      <w:r w:rsidR="5141EA98" w:rsidRPr="5141EA98">
        <w:rPr>
          <w:rFonts w:ascii="Arial" w:eastAsia="Arial" w:hAnsi="Arial" w:cs="Arial"/>
          <w:color w:val="000000" w:themeColor="text1"/>
          <w:sz w:val="24"/>
          <w:szCs w:val="24"/>
          <w:lang w:val="es-CO"/>
        </w:rPr>
        <w:t xml:space="preserve">, </w:t>
      </w:r>
      <w:r w:rsidR="00B26EFF">
        <w:rPr>
          <w:rFonts w:ascii="Arial" w:eastAsia="Arial" w:hAnsi="Arial" w:cs="Arial"/>
          <w:color w:val="000000" w:themeColor="text1"/>
          <w:sz w:val="24"/>
          <w:szCs w:val="24"/>
          <w:lang w:val="es-CO"/>
        </w:rPr>
        <w:t xml:space="preserve">y se </w:t>
      </w:r>
      <w:r w:rsidR="5141EA98" w:rsidRPr="5141EA98">
        <w:rPr>
          <w:rFonts w:ascii="Arial" w:eastAsia="Arial" w:hAnsi="Arial" w:cs="Arial"/>
          <w:color w:val="000000" w:themeColor="text1"/>
          <w:sz w:val="24"/>
          <w:szCs w:val="24"/>
          <w:lang w:val="es-CO"/>
        </w:rPr>
        <w:t>excluy</w:t>
      </w:r>
      <w:r w:rsidR="00B26EFF">
        <w:rPr>
          <w:rFonts w:ascii="Arial" w:eastAsia="Arial" w:hAnsi="Arial" w:cs="Arial"/>
          <w:color w:val="000000" w:themeColor="text1"/>
          <w:sz w:val="24"/>
          <w:szCs w:val="24"/>
          <w:lang w:val="es-CO"/>
        </w:rPr>
        <w:t>eron</w:t>
      </w:r>
      <w:r w:rsidR="5141EA98" w:rsidRPr="5141EA98">
        <w:rPr>
          <w:rFonts w:ascii="Arial" w:eastAsia="Arial" w:hAnsi="Arial" w:cs="Arial"/>
          <w:color w:val="000000" w:themeColor="text1"/>
          <w:sz w:val="24"/>
          <w:szCs w:val="24"/>
          <w:lang w:val="es-CO"/>
        </w:rPr>
        <w:t xml:space="preserve"> 40 </w:t>
      </w:r>
      <w:r>
        <w:rPr>
          <w:rFonts w:ascii="Arial" w:eastAsia="Arial" w:hAnsi="Arial" w:cs="Arial"/>
          <w:color w:val="000000" w:themeColor="text1"/>
          <w:sz w:val="24"/>
          <w:szCs w:val="24"/>
          <w:lang w:val="es-CO"/>
        </w:rPr>
        <w:t>est</w:t>
      </w:r>
      <w:r w:rsidR="00097F58">
        <w:rPr>
          <w:rFonts w:ascii="Arial" w:eastAsia="Arial" w:hAnsi="Arial" w:cs="Arial"/>
          <w:color w:val="000000" w:themeColor="text1"/>
          <w:sz w:val="24"/>
          <w:szCs w:val="24"/>
          <w:lang w:val="es-CO"/>
        </w:rPr>
        <w:t>u</w:t>
      </w:r>
      <w:r>
        <w:rPr>
          <w:rFonts w:ascii="Arial" w:eastAsia="Arial" w:hAnsi="Arial" w:cs="Arial"/>
          <w:color w:val="000000" w:themeColor="text1"/>
          <w:sz w:val="24"/>
          <w:szCs w:val="24"/>
          <w:lang w:val="es-CO"/>
        </w:rPr>
        <w:t xml:space="preserve">dios </w:t>
      </w:r>
      <w:r w:rsidR="5141EA98" w:rsidRPr="5141EA98">
        <w:rPr>
          <w:rFonts w:ascii="Arial" w:eastAsia="Arial" w:hAnsi="Arial" w:cs="Arial"/>
          <w:color w:val="000000" w:themeColor="text1"/>
          <w:sz w:val="24"/>
          <w:szCs w:val="24"/>
          <w:lang w:val="es-CO"/>
        </w:rPr>
        <w:t>por las razones descritas en la figura 1</w:t>
      </w:r>
      <w:r w:rsidR="00112A88">
        <w:rPr>
          <w:rFonts w:ascii="Arial" w:eastAsia="Arial" w:hAnsi="Arial" w:cs="Arial"/>
          <w:color w:val="000000" w:themeColor="text1"/>
          <w:sz w:val="24"/>
          <w:szCs w:val="24"/>
          <w:lang w:val="es-CO"/>
        </w:rPr>
        <w:t>.</w:t>
      </w:r>
      <w:r w:rsidR="5141EA98" w:rsidRPr="005D3494">
        <w:rPr>
          <w:rFonts w:ascii="Arial" w:eastAsia="Arial" w:hAnsi="Arial" w:cs="Arial"/>
          <w:color w:val="000000" w:themeColor="text1"/>
          <w:sz w:val="24"/>
          <w:szCs w:val="24"/>
          <w:lang w:val="es-CO"/>
        </w:rPr>
        <w:t xml:space="preserve"> </w:t>
      </w:r>
      <w:r w:rsidR="00112A88">
        <w:rPr>
          <w:rFonts w:ascii="Arial" w:eastAsia="Arial" w:hAnsi="Arial" w:cs="Arial"/>
          <w:color w:val="000000" w:themeColor="text1"/>
          <w:sz w:val="24"/>
          <w:szCs w:val="24"/>
          <w:lang w:val="es-CO"/>
        </w:rPr>
        <w:t>F</w:t>
      </w:r>
      <w:r w:rsidR="5141EA98" w:rsidRPr="005D3494">
        <w:rPr>
          <w:rFonts w:ascii="Arial" w:eastAsia="Arial" w:hAnsi="Arial" w:cs="Arial"/>
          <w:color w:val="000000" w:themeColor="text1"/>
          <w:sz w:val="24"/>
          <w:szCs w:val="24"/>
          <w:lang w:val="es-CO"/>
        </w:rPr>
        <w:t xml:space="preserve">inalmente se incluyeron </w:t>
      </w:r>
      <w:r w:rsidR="00C16400">
        <w:rPr>
          <w:rFonts w:ascii="Arial" w:eastAsia="Arial" w:hAnsi="Arial" w:cs="Arial"/>
          <w:color w:val="000000" w:themeColor="text1"/>
          <w:sz w:val="24"/>
          <w:szCs w:val="24"/>
          <w:lang w:val="es-CO"/>
        </w:rPr>
        <w:t>seis</w:t>
      </w:r>
      <w:r w:rsidR="00112A88" w:rsidRPr="005D3494">
        <w:rPr>
          <w:rFonts w:ascii="Arial" w:eastAsia="Arial" w:hAnsi="Arial" w:cs="Arial"/>
          <w:color w:val="000000" w:themeColor="text1"/>
          <w:sz w:val="24"/>
          <w:szCs w:val="24"/>
          <w:lang w:val="es-CO"/>
        </w:rPr>
        <w:t xml:space="preserve"> </w:t>
      </w:r>
      <w:r>
        <w:rPr>
          <w:rFonts w:ascii="Arial" w:eastAsia="Arial" w:hAnsi="Arial" w:cs="Arial"/>
          <w:color w:val="000000" w:themeColor="text1"/>
          <w:sz w:val="24"/>
          <w:szCs w:val="24"/>
          <w:lang w:val="es-CO"/>
        </w:rPr>
        <w:t>estudios</w:t>
      </w:r>
      <w:r w:rsidR="00097F58">
        <w:rPr>
          <w:rFonts w:ascii="Arial" w:eastAsia="Arial" w:hAnsi="Arial" w:cs="Arial"/>
          <w:color w:val="000000" w:themeColor="text1"/>
          <w:sz w:val="24"/>
          <w:szCs w:val="24"/>
          <w:lang w:val="es-CO"/>
        </w:rPr>
        <w:t>:</w:t>
      </w:r>
      <w:r>
        <w:rPr>
          <w:rFonts w:ascii="Arial" w:eastAsia="Arial" w:hAnsi="Arial" w:cs="Arial"/>
          <w:color w:val="000000" w:themeColor="text1"/>
          <w:sz w:val="24"/>
          <w:szCs w:val="24"/>
          <w:lang w:val="es-CO"/>
        </w:rPr>
        <w:t xml:space="preserve"> </w:t>
      </w:r>
      <w:r w:rsidR="5141EA98" w:rsidRPr="005D3494">
        <w:rPr>
          <w:rFonts w:ascii="Arial" w:eastAsia="Arial" w:hAnsi="Arial" w:cs="Arial"/>
          <w:color w:val="000000" w:themeColor="text1"/>
          <w:sz w:val="24"/>
          <w:szCs w:val="24"/>
          <w:lang w:val="es-CO"/>
        </w:rPr>
        <w:t xml:space="preserve">3 </w:t>
      </w:r>
      <w:r w:rsidR="5141EA98" w:rsidRPr="5141EA98">
        <w:rPr>
          <w:rFonts w:ascii="Arial" w:eastAsia="Arial" w:hAnsi="Arial" w:cs="Arial"/>
          <w:color w:val="000000" w:themeColor="text1"/>
          <w:sz w:val="24"/>
          <w:szCs w:val="24"/>
          <w:lang w:val="es-CO"/>
        </w:rPr>
        <w:t>ECA</w:t>
      </w:r>
      <w:r w:rsidR="5141EA98" w:rsidRPr="005D3494">
        <w:rPr>
          <w:rFonts w:ascii="Arial" w:eastAsia="Arial" w:hAnsi="Arial" w:cs="Arial"/>
          <w:color w:val="000000" w:themeColor="text1"/>
          <w:sz w:val="24"/>
          <w:szCs w:val="24"/>
          <w:lang w:val="es-CO"/>
        </w:rPr>
        <w:t xml:space="preserve"> y 3 estudios de </w:t>
      </w:r>
      <w:r w:rsidR="00E0130A">
        <w:rPr>
          <w:rFonts w:ascii="Arial" w:eastAsia="Arial" w:hAnsi="Arial" w:cs="Arial"/>
          <w:color w:val="000000" w:themeColor="text1"/>
          <w:sz w:val="24"/>
          <w:szCs w:val="24"/>
          <w:lang w:val="es-CO"/>
        </w:rPr>
        <w:t>cohortes</w:t>
      </w:r>
      <w:r w:rsidR="5141EA98" w:rsidRPr="5141EA98">
        <w:rPr>
          <w:rFonts w:ascii="Arial" w:eastAsia="Arial" w:hAnsi="Arial" w:cs="Arial"/>
          <w:color w:val="000000" w:themeColor="text1"/>
          <w:sz w:val="24"/>
          <w:szCs w:val="24"/>
          <w:lang w:val="es-CO"/>
        </w:rPr>
        <w:t xml:space="preserve">. </w:t>
      </w:r>
    </w:p>
    <w:p w14:paraId="747D8CA2" w14:textId="77777777" w:rsidR="00BB7FD6" w:rsidRDefault="00BB7FD6" w:rsidP="538C4EBD">
      <w:pPr>
        <w:spacing w:after="0" w:line="240" w:lineRule="auto"/>
        <w:rPr>
          <w:rFonts w:ascii="Arial" w:eastAsia="Arial" w:hAnsi="Arial" w:cs="Arial"/>
          <w:b/>
          <w:sz w:val="24"/>
          <w:szCs w:val="24"/>
        </w:rPr>
      </w:pPr>
    </w:p>
    <w:p w14:paraId="175D4CC7" w14:textId="2E179E79" w:rsidR="20D66459" w:rsidRDefault="5141EA98" w:rsidP="538C4EBD">
      <w:pPr>
        <w:spacing w:after="0" w:line="240" w:lineRule="auto"/>
        <w:rPr>
          <w:rFonts w:ascii="Arial" w:eastAsia="Arial" w:hAnsi="Arial" w:cs="Arial"/>
          <w:sz w:val="24"/>
          <w:szCs w:val="24"/>
        </w:rPr>
      </w:pPr>
      <w:r w:rsidRPr="00336EE5">
        <w:rPr>
          <w:rFonts w:ascii="Arial" w:eastAsia="Arial" w:hAnsi="Arial" w:cs="Arial"/>
          <w:b/>
          <w:sz w:val="24"/>
          <w:szCs w:val="24"/>
        </w:rPr>
        <w:t>Figura 1.</w:t>
      </w:r>
      <w:r w:rsidRPr="5141EA98">
        <w:rPr>
          <w:rFonts w:ascii="Arial" w:eastAsia="Arial" w:hAnsi="Arial" w:cs="Arial"/>
          <w:b/>
          <w:bCs/>
          <w:sz w:val="24"/>
          <w:szCs w:val="24"/>
        </w:rPr>
        <w:t xml:space="preserve"> </w:t>
      </w:r>
      <w:r w:rsidRPr="001C7C49">
        <w:rPr>
          <w:rFonts w:ascii="Arial" w:eastAsia="Arial" w:hAnsi="Arial" w:cs="Arial"/>
          <w:i/>
          <w:iCs/>
          <w:sz w:val="24"/>
          <w:szCs w:val="24"/>
        </w:rPr>
        <w:t>Diagrama de flujo de la selección de estudios</w:t>
      </w:r>
      <w:r w:rsidR="00E83FBE" w:rsidRPr="001C7C49">
        <w:rPr>
          <w:rFonts w:ascii="Arial" w:eastAsia="Arial" w:hAnsi="Arial" w:cs="Arial"/>
          <w:i/>
          <w:iCs/>
          <w:sz w:val="24"/>
          <w:szCs w:val="24"/>
        </w:rPr>
        <w:t>.</w:t>
      </w:r>
    </w:p>
    <w:p w14:paraId="5B274EEA" w14:textId="77777777" w:rsidR="00BE76C1" w:rsidRDefault="00BE76C1" w:rsidP="538C4EBD">
      <w:pPr>
        <w:spacing w:after="0" w:line="240" w:lineRule="auto"/>
        <w:rPr>
          <w:rFonts w:ascii="Arial" w:eastAsia="Arial" w:hAnsi="Arial" w:cs="Arial"/>
          <w:b/>
          <w:bCs/>
          <w:sz w:val="24"/>
          <w:szCs w:val="24"/>
        </w:rPr>
      </w:pPr>
    </w:p>
    <w:p w14:paraId="5F076EF4" w14:textId="3B386880" w:rsidR="007554DA" w:rsidRDefault="00E85E58" w:rsidP="5141EA98">
      <w:pPr>
        <w:spacing w:after="0" w:line="240" w:lineRule="auto"/>
        <w:rPr>
          <w:rFonts w:ascii="Arial" w:eastAsia="Arial" w:hAnsi="Arial" w:cs="Arial"/>
          <w:sz w:val="24"/>
          <w:szCs w:val="24"/>
        </w:rPr>
      </w:pPr>
      <w:r>
        <w:rPr>
          <w:rFonts w:ascii="Arial" w:eastAsia="Arial" w:hAnsi="Arial" w:cs="Arial"/>
          <w:noProof/>
          <w:sz w:val="24"/>
          <w:szCs w:val="24"/>
        </w:rPr>
        <w:drawing>
          <wp:inline distT="0" distB="0" distL="0" distR="0" wp14:anchorId="339D229E" wp14:editId="0C56DF76">
            <wp:extent cx="3208022" cy="52621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3221188" cy="5283709"/>
                    </a:xfrm>
                    <a:prstGeom prst="rect">
                      <a:avLst/>
                    </a:prstGeom>
                  </pic:spPr>
                </pic:pic>
              </a:graphicData>
            </a:graphic>
          </wp:inline>
        </w:drawing>
      </w:r>
    </w:p>
    <w:p w14:paraId="136DB41C" w14:textId="7BC76650" w:rsidR="20D66459" w:rsidRDefault="5141EA98" w:rsidP="00720DAE">
      <w:pPr>
        <w:pStyle w:val="Ttulo2"/>
        <w:rPr>
          <w:lang w:val="es-CO"/>
        </w:rPr>
      </w:pPr>
      <w:bookmarkStart w:id="17" w:name="_Toc85474278"/>
      <w:r w:rsidRPr="5141EA98">
        <w:rPr>
          <w:lang w:val="es-CO"/>
        </w:rPr>
        <w:lastRenderedPageBreak/>
        <w:t>Características de los estudios</w:t>
      </w:r>
      <w:bookmarkEnd w:id="17"/>
      <w:r w:rsidRPr="5141EA98">
        <w:rPr>
          <w:lang w:val="es-CO"/>
        </w:rPr>
        <w:t xml:space="preserve"> </w:t>
      </w:r>
    </w:p>
    <w:p w14:paraId="2BAD10F6" w14:textId="77777777" w:rsidR="007554DA" w:rsidRPr="007554DA" w:rsidRDefault="007554DA" w:rsidP="007554DA">
      <w:pPr>
        <w:rPr>
          <w:lang w:val="es-CO"/>
        </w:rPr>
      </w:pPr>
    </w:p>
    <w:p w14:paraId="133518F7" w14:textId="5D161E78" w:rsidR="20D66459" w:rsidRDefault="5141EA98" w:rsidP="007554DA">
      <w:pPr>
        <w:spacing w:after="0" w:line="360" w:lineRule="auto"/>
        <w:ind w:firstLine="680"/>
        <w:jc w:val="both"/>
        <w:rPr>
          <w:rFonts w:ascii="Arial" w:eastAsia="Arial" w:hAnsi="Arial" w:cs="Arial"/>
          <w:sz w:val="24"/>
          <w:szCs w:val="24"/>
        </w:rPr>
      </w:pPr>
      <w:r w:rsidRPr="5141EA98">
        <w:rPr>
          <w:rFonts w:ascii="Arial" w:eastAsia="Arial" w:hAnsi="Arial" w:cs="Arial"/>
          <w:color w:val="000000" w:themeColor="text1"/>
          <w:sz w:val="24"/>
          <w:szCs w:val="24"/>
          <w:lang w:val="es-CO"/>
        </w:rPr>
        <w:t xml:space="preserve">Las características detalladas de los estudios incluidos se encuentran en la </w:t>
      </w:r>
      <w:r w:rsidRPr="00B72118">
        <w:rPr>
          <w:rFonts w:ascii="Arial" w:eastAsia="Arial" w:hAnsi="Arial" w:cs="Arial"/>
          <w:bCs/>
          <w:color w:val="000000" w:themeColor="text1"/>
          <w:sz w:val="24"/>
          <w:szCs w:val="24"/>
          <w:lang w:val="es-CO"/>
        </w:rPr>
        <w:t>tabla 3</w:t>
      </w:r>
      <w:r w:rsidR="00B26EFF">
        <w:rPr>
          <w:rFonts w:ascii="Arial" w:eastAsia="Arial" w:hAnsi="Arial" w:cs="Arial"/>
          <w:bCs/>
          <w:color w:val="000000" w:themeColor="text1"/>
          <w:sz w:val="24"/>
          <w:szCs w:val="24"/>
          <w:lang w:val="es-CO"/>
        </w:rPr>
        <w:t>,</w:t>
      </w:r>
      <w:r w:rsidRPr="009D1729">
        <w:rPr>
          <w:rFonts w:ascii="Arial" w:eastAsia="Arial" w:hAnsi="Arial" w:cs="Arial"/>
          <w:color w:val="000000" w:themeColor="text1"/>
          <w:sz w:val="24"/>
          <w:szCs w:val="24"/>
          <w:lang w:val="es-CO"/>
        </w:rPr>
        <w:t xml:space="preserve"> </w:t>
      </w:r>
      <w:r w:rsidRPr="5141EA98">
        <w:rPr>
          <w:rFonts w:ascii="Arial" w:eastAsia="Arial" w:hAnsi="Arial" w:cs="Arial"/>
          <w:color w:val="000000" w:themeColor="text1"/>
          <w:sz w:val="24"/>
          <w:szCs w:val="24"/>
          <w:lang w:val="es-CO"/>
        </w:rPr>
        <w:t xml:space="preserve">así como las características de los estudios excluidos se exponen en </w:t>
      </w:r>
      <w:r w:rsidRPr="009D1729">
        <w:rPr>
          <w:rFonts w:ascii="Arial" w:eastAsia="Arial" w:hAnsi="Arial" w:cs="Arial"/>
          <w:color w:val="000000" w:themeColor="text1"/>
          <w:sz w:val="24"/>
          <w:szCs w:val="24"/>
          <w:lang w:val="es-CO"/>
        </w:rPr>
        <w:t>la</w:t>
      </w:r>
      <w:r w:rsidRPr="00B72118">
        <w:rPr>
          <w:rFonts w:ascii="Arial" w:eastAsia="Arial" w:hAnsi="Arial" w:cs="Arial"/>
          <w:bCs/>
          <w:color w:val="000000" w:themeColor="text1"/>
          <w:sz w:val="24"/>
          <w:szCs w:val="24"/>
          <w:lang w:val="es-CO"/>
        </w:rPr>
        <w:t xml:space="preserve"> tabla 4</w:t>
      </w:r>
      <w:r w:rsidRPr="5141EA98">
        <w:rPr>
          <w:rFonts w:ascii="Arial" w:eastAsia="Arial" w:hAnsi="Arial" w:cs="Arial"/>
          <w:color w:val="000000" w:themeColor="text1"/>
          <w:sz w:val="24"/>
          <w:szCs w:val="24"/>
          <w:lang w:val="es-CO"/>
        </w:rPr>
        <w:t xml:space="preserve"> (anexo</w:t>
      </w:r>
      <w:r w:rsidR="00D13411">
        <w:rPr>
          <w:rFonts w:ascii="Arial" w:eastAsia="Arial" w:hAnsi="Arial" w:cs="Arial"/>
          <w:color w:val="000000" w:themeColor="text1"/>
          <w:sz w:val="24"/>
          <w:szCs w:val="24"/>
          <w:lang w:val="es-CO"/>
        </w:rPr>
        <w:t xml:space="preserve"> 3</w:t>
      </w:r>
      <w:r w:rsidRPr="5141EA98">
        <w:rPr>
          <w:rFonts w:ascii="Arial" w:eastAsia="Arial" w:hAnsi="Arial" w:cs="Arial"/>
          <w:color w:val="000000" w:themeColor="text1"/>
          <w:sz w:val="24"/>
          <w:szCs w:val="24"/>
          <w:lang w:val="es-CO"/>
        </w:rPr>
        <w:t>)</w:t>
      </w:r>
      <w:r w:rsidRPr="5141EA98">
        <w:rPr>
          <w:rFonts w:ascii="Arial" w:eastAsia="Arial" w:hAnsi="Arial" w:cs="Arial"/>
          <w:color w:val="FF0000"/>
          <w:sz w:val="24"/>
          <w:szCs w:val="24"/>
          <w:lang w:val="es-CO"/>
        </w:rPr>
        <w:t>.</w:t>
      </w:r>
      <w:r w:rsidR="00720DAE">
        <w:rPr>
          <w:rFonts w:ascii="Arial" w:eastAsia="Arial" w:hAnsi="Arial" w:cs="Arial"/>
          <w:sz w:val="24"/>
          <w:szCs w:val="24"/>
        </w:rPr>
        <w:t xml:space="preserve"> </w:t>
      </w:r>
      <w:r w:rsidR="00D63936">
        <w:rPr>
          <w:rFonts w:ascii="Arial" w:eastAsia="Arial" w:hAnsi="Arial" w:cs="Arial"/>
          <w:sz w:val="24"/>
          <w:szCs w:val="24"/>
        </w:rPr>
        <w:t xml:space="preserve">Los </w:t>
      </w:r>
      <w:r w:rsidR="00D13411" w:rsidRPr="5141EA98">
        <w:rPr>
          <w:rFonts w:ascii="Arial" w:eastAsia="Arial" w:hAnsi="Arial" w:cs="Arial"/>
          <w:sz w:val="24"/>
          <w:szCs w:val="24"/>
        </w:rPr>
        <w:t xml:space="preserve">ECA </w:t>
      </w:r>
      <w:r w:rsidR="00D13411">
        <w:rPr>
          <w:rFonts w:ascii="Arial" w:eastAsia="Arial" w:hAnsi="Arial" w:cs="Arial"/>
          <w:sz w:val="24"/>
          <w:szCs w:val="24"/>
        </w:rPr>
        <w:t>incluidos</w:t>
      </w:r>
      <w:r w:rsidRPr="5141EA98">
        <w:rPr>
          <w:rFonts w:ascii="Arial" w:eastAsia="Arial" w:hAnsi="Arial" w:cs="Arial"/>
          <w:sz w:val="24"/>
          <w:szCs w:val="24"/>
        </w:rPr>
        <w:t xml:space="preserve"> </w:t>
      </w:r>
      <w:r w:rsidR="00D63936">
        <w:rPr>
          <w:rFonts w:ascii="Arial" w:eastAsia="Arial" w:hAnsi="Arial" w:cs="Arial"/>
          <w:sz w:val="24"/>
          <w:szCs w:val="24"/>
        </w:rPr>
        <w:t>evaluaron</w:t>
      </w:r>
      <w:r w:rsidRPr="5141EA98">
        <w:rPr>
          <w:rFonts w:ascii="Arial" w:eastAsia="Arial" w:hAnsi="Arial" w:cs="Arial"/>
          <w:sz w:val="24"/>
          <w:szCs w:val="24"/>
        </w:rPr>
        <w:t xml:space="preserve"> un total de 1</w:t>
      </w:r>
      <w:r w:rsidR="003F073B">
        <w:rPr>
          <w:rFonts w:ascii="Arial" w:eastAsia="Arial" w:hAnsi="Arial" w:cs="Arial"/>
          <w:sz w:val="24"/>
          <w:szCs w:val="24"/>
        </w:rPr>
        <w:t>,</w:t>
      </w:r>
      <w:r w:rsidRPr="5141EA98">
        <w:rPr>
          <w:rFonts w:ascii="Arial" w:eastAsia="Arial" w:hAnsi="Arial" w:cs="Arial"/>
          <w:sz w:val="24"/>
          <w:szCs w:val="24"/>
        </w:rPr>
        <w:t>689 participantes</w:t>
      </w:r>
      <w:r w:rsidR="00D13411">
        <w:rPr>
          <w:rFonts w:ascii="Arial" w:eastAsia="Arial" w:hAnsi="Arial" w:cs="Arial"/>
          <w:sz w:val="24"/>
          <w:szCs w:val="24"/>
        </w:rPr>
        <w:t xml:space="preserve"> que viven con VIH</w:t>
      </w:r>
      <w:r w:rsidRPr="5141EA98">
        <w:rPr>
          <w:rFonts w:ascii="Arial" w:eastAsia="Arial" w:hAnsi="Arial" w:cs="Arial"/>
          <w:sz w:val="24"/>
          <w:szCs w:val="24"/>
        </w:rPr>
        <w:t xml:space="preserve">. Dos </w:t>
      </w:r>
      <w:r w:rsidR="00D63936">
        <w:rPr>
          <w:rFonts w:ascii="Arial" w:eastAsia="Arial" w:hAnsi="Arial" w:cs="Arial"/>
          <w:sz w:val="24"/>
          <w:szCs w:val="24"/>
        </w:rPr>
        <w:t>estudios</w:t>
      </w:r>
      <w:r w:rsidR="00B733AF">
        <w:rPr>
          <w:rFonts w:ascii="Arial" w:eastAsia="Arial" w:hAnsi="Arial" w:cs="Arial"/>
          <w:sz w:val="24"/>
          <w:szCs w:val="24"/>
        </w:rPr>
        <w:t xml:space="preserve"> </w:t>
      </w:r>
      <w:r w:rsidRPr="5141EA98">
        <w:rPr>
          <w:rFonts w:ascii="Arial" w:eastAsia="Arial" w:hAnsi="Arial" w:cs="Arial"/>
          <w:sz w:val="24"/>
          <w:szCs w:val="24"/>
        </w:rPr>
        <w:t>fueron multicéntricos en 10 países</w:t>
      </w:r>
      <w:r w:rsidR="00D13411">
        <w:rPr>
          <w:rFonts w:ascii="Arial" w:eastAsia="Arial" w:hAnsi="Arial" w:cs="Arial"/>
          <w:sz w:val="24"/>
          <w:szCs w:val="24"/>
        </w:rPr>
        <w:t xml:space="preserve"> (1</w:t>
      </w:r>
      <w:r w:rsidR="00CE0CC7">
        <w:rPr>
          <w:rFonts w:ascii="Arial" w:eastAsia="Arial" w:hAnsi="Arial" w:cs="Arial"/>
          <w:sz w:val="24"/>
          <w:szCs w:val="24"/>
        </w:rPr>
        <w:t>0</w:t>
      </w:r>
      <w:r w:rsidR="00D13411">
        <w:rPr>
          <w:rFonts w:ascii="Arial" w:eastAsia="Arial" w:hAnsi="Arial" w:cs="Arial"/>
          <w:sz w:val="24"/>
          <w:szCs w:val="24"/>
        </w:rPr>
        <w:t>,1</w:t>
      </w:r>
      <w:r w:rsidR="00CE0CC7">
        <w:rPr>
          <w:rFonts w:ascii="Arial" w:eastAsia="Arial" w:hAnsi="Arial" w:cs="Arial"/>
          <w:sz w:val="24"/>
          <w:szCs w:val="24"/>
        </w:rPr>
        <w:t>7</w:t>
      </w:r>
      <w:r w:rsidR="00D13411">
        <w:rPr>
          <w:rFonts w:ascii="Arial" w:eastAsia="Arial" w:hAnsi="Arial" w:cs="Arial"/>
          <w:sz w:val="24"/>
          <w:szCs w:val="24"/>
        </w:rPr>
        <w:t>)</w:t>
      </w:r>
      <w:r w:rsidRPr="5141EA98">
        <w:rPr>
          <w:rFonts w:ascii="Arial" w:eastAsia="Arial" w:hAnsi="Arial" w:cs="Arial"/>
          <w:sz w:val="24"/>
          <w:szCs w:val="24"/>
        </w:rPr>
        <w:t xml:space="preserve">. El otro </w:t>
      </w:r>
      <w:r w:rsidR="00B733AF">
        <w:rPr>
          <w:rFonts w:ascii="Arial" w:eastAsia="Arial" w:hAnsi="Arial" w:cs="Arial"/>
          <w:sz w:val="24"/>
          <w:szCs w:val="24"/>
        </w:rPr>
        <w:t>ECA</w:t>
      </w:r>
      <w:r w:rsidRPr="5141EA98">
        <w:rPr>
          <w:rFonts w:ascii="Arial" w:eastAsia="Arial" w:hAnsi="Arial" w:cs="Arial"/>
          <w:sz w:val="24"/>
          <w:szCs w:val="24"/>
        </w:rPr>
        <w:t xml:space="preserve"> se realizó en Sudáfrica</w:t>
      </w:r>
      <w:r w:rsidR="00591937">
        <w:rPr>
          <w:rFonts w:ascii="Arial" w:eastAsia="Arial" w:hAnsi="Arial" w:cs="Arial"/>
          <w:sz w:val="24"/>
          <w:szCs w:val="24"/>
        </w:rPr>
        <w:t xml:space="preserve"> </w:t>
      </w:r>
      <w:r w:rsidR="00591937" w:rsidRPr="005A473F">
        <w:rPr>
          <w:rFonts w:ascii="Arial" w:eastAsia="Arial" w:hAnsi="Arial" w:cs="Arial"/>
          <w:sz w:val="24"/>
          <w:szCs w:val="24"/>
        </w:rPr>
        <w:t>(1</w:t>
      </w:r>
      <w:r w:rsidR="0007291B" w:rsidRPr="005A473F">
        <w:rPr>
          <w:rFonts w:ascii="Arial" w:eastAsia="Arial" w:hAnsi="Arial" w:cs="Arial"/>
          <w:sz w:val="24"/>
          <w:szCs w:val="24"/>
        </w:rPr>
        <w:t>8</w:t>
      </w:r>
      <w:r w:rsidR="00591937" w:rsidRPr="005A473F">
        <w:rPr>
          <w:rFonts w:ascii="Arial" w:eastAsia="Arial" w:hAnsi="Arial" w:cs="Arial"/>
          <w:sz w:val="24"/>
          <w:szCs w:val="24"/>
        </w:rPr>
        <w:t>)</w:t>
      </w:r>
      <w:r w:rsidRPr="005A473F">
        <w:rPr>
          <w:rFonts w:ascii="Arial" w:eastAsia="Arial" w:hAnsi="Arial" w:cs="Arial"/>
          <w:sz w:val="24"/>
          <w:szCs w:val="24"/>
        </w:rPr>
        <w:t>.</w:t>
      </w:r>
      <w:r w:rsidRPr="5141EA98">
        <w:rPr>
          <w:rFonts w:ascii="Arial" w:eastAsia="Arial" w:hAnsi="Arial" w:cs="Arial"/>
          <w:sz w:val="24"/>
          <w:szCs w:val="24"/>
        </w:rPr>
        <w:t xml:space="preserve"> Los participantes tenían una mediana de conteo de linfocitos T CD4 de 469 a 598 células/ml</w:t>
      </w:r>
      <w:r w:rsidR="00E83FBE">
        <w:rPr>
          <w:rFonts w:ascii="Arial" w:eastAsia="Arial" w:hAnsi="Arial" w:cs="Arial"/>
          <w:sz w:val="24"/>
          <w:szCs w:val="24"/>
        </w:rPr>
        <w:t>;</w:t>
      </w:r>
      <w:r w:rsidR="00591937">
        <w:rPr>
          <w:rFonts w:ascii="Arial" w:eastAsia="Arial" w:hAnsi="Arial" w:cs="Arial"/>
          <w:sz w:val="24"/>
          <w:szCs w:val="24"/>
        </w:rPr>
        <w:t xml:space="preserve"> </w:t>
      </w:r>
      <w:r w:rsidR="00D13411">
        <w:rPr>
          <w:rFonts w:ascii="Arial" w:eastAsia="Arial" w:hAnsi="Arial" w:cs="Arial"/>
          <w:sz w:val="24"/>
          <w:szCs w:val="24"/>
        </w:rPr>
        <w:t>a través de</w:t>
      </w:r>
      <w:r w:rsidRPr="5141EA98">
        <w:rPr>
          <w:rFonts w:ascii="Arial" w:eastAsia="Arial" w:hAnsi="Arial" w:cs="Arial"/>
          <w:sz w:val="24"/>
          <w:szCs w:val="24"/>
        </w:rPr>
        <w:t xml:space="preserve"> TST positiva</w:t>
      </w:r>
      <w:r w:rsidR="00591937">
        <w:rPr>
          <w:rFonts w:ascii="Arial" w:eastAsia="Arial" w:hAnsi="Arial" w:cs="Arial"/>
          <w:sz w:val="24"/>
          <w:szCs w:val="24"/>
        </w:rPr>
        <w:t xml:space="preserve"> se diagnosticaron de</w:t>
      </w:r>
      <w:r w:rsidR="00591937" w:rsidRPr="5141EA98">
        <w:rPr>
          <w:rFonts w:ascii="Arial" w:eastAsia="Arial" w:hAnsi="Arial" w:cs="Arial"/>
          <w:sz w:val="24"/>
          <w:szCs w:val="24"/>
        </w:rPr>
        <w:t xml:space="preserve"> ILTB</w:t>
      </w:r>
      <w:r w:rsidR="00D13411">
        <w:rPr>
          <w:rFonts w:ascii="Arial" w:eastAsia="Arial" w:hAnsi="Arial" w:cs="Arial"/>
          <w:sz w:val="24"/>
          <w:szCs w:val="24"/>
        </w:rPr>
        <w:t>.</w:t>
      </w:r>
    </w:p>
    <w:p w14:paraId="33C86FAD" w14:textId="29EE4843" w:rsidR="20D66459" w:rsidRDefault="20D66459" w:rsidP="00BA6944">
      <w:pPr>
        <w:spacing w:after="0" w:line="240" w:lineRule="auto"/>
        <w:ind w:firstLine="680"/>
        <w:jc w:val="both"/>
        <w:rPr>
          <w:rFonts w:ascii="Arial" w:eastAsia="Arial" w:hAnsi="Arial" w:cs="Arial"/>
          <w:sz w:val="24"/>
          <w:szCs w:val="24"/>
        </w:rPr>
      </w:pPr>
    </w:p>
    <w:p w14:paraId="238BE8F0" w14:textId="52B8BC8B" w:rsidR="20D66459" w:rsidRDefault="00B733AF" w:rsidP="007554DA">
      <w:pPr>
        <w:spacing w:after="0" w:line="360" w:lineRule="auto"/>
        <w:ind w:firstLine="680"/>
        <w:jc w:val="both"/>
        <w:rPr>
          <w:rFonts w:ascii="Arial" w:eastAsia="Arial" w:hAnsi="Arial" w:cs="Arial"/>
          <w:sz w:val="24"/>
          <w:szCs w:val="24"/>
        </w:rPr>
      </w:pPr>
      <w:r>
        <w:rPr>
          <w:rFonts w:ascii="Arial" w:eastAsia="Arial" w:hAnsi="Arial" w:cs="Arial"/>
          <w:sz w:val="24"/>
          <w:szCs w:val="24"/>
        </w:rPr>
        <w:t>En cu</w:t>
      </w:r>
      <w:r w:rsidR="00F40E0C">
        <w:rPr>
          <w:rFonts w:ascii="Arial" w:eastAsia="Arial" w:hAnsi="Arial" w:cs="Arial"/>
          <w:sz w:val="24"/>
          <w:szCs w:val="24"/>
        </w:rPr>
        <w:t>a</w:t>
      </w:r>
      <w:r>
        <w:rPr>
          <w:rFonts w:ascii="Arial" w:eastAsia="Arial" w:hAnsi="Arial" w:cs="Arial"/>
          <w:sz w:val="24"/>
          <w:szCs w:val="24"/>
        </w:rPr>
        <w:t>nto a los regímenes terapéuticos</w:t>
      </w:r>
      <w:r w:rsidR="5141EA98" w:rsidRPr="5141EA98">
        <w:rPr>
          <w:rFonts w:ascii="Arial" w:eastAsia="Arial" w:hAnsi="Arial" w:cs="Arial"/>
          <w:sz w:val="24"/>
          <w:szCs w:val="24"/>
        </w:rPr>
        <w:t xml:space="preserve"> </w:t>
      </w:r>
      <w:r>
        <w:rPr>
          <w:rFonts w:ascii="Arial" w:eastAsia="Arial" w:hAnsi="Arial" w:cs="Arial"/>
          <w:sz w:val="24"/>
          <w:szCs w:val="24"/>
        </w:rPr>
        <w:t>en un estudio</w:t>
      </w:r>
      <w:r w:rsidR="00E83FBE">
        <w:rPr>
          <w:rFonts w:ascii="Arial" w:eastAsia="Arial" w:hAnsi="Arial" w:cs="Arial"/>
          <w:sz w:val="24"/>
          <w:szCs w:val="24"/>
        </w:rPr>
        <w:t>,</w:t>
      </w:r>
      <w:r w:rsidR="00F40E0C">
        <w:rPr>
          <w:rFonts w:ascii="Arial" w:eastAsia="Arial" w:hAnsi="Arial" w:cs="Arial"/>
          <w:sz w:val="24"/>
          <w:szCs w:val="24"/>
        </w:rPr>
        <w:t xml:space="preserve"> </w:t>
      </w:r>
      <w:r w:rsidR="5141EA98" w:rsidRPr="5141EA98">
        <w:rPr>
          <w:rFonts w:ascii="Arial" w:eastAsia="Arial" w:hAnsi="Arial" w:cs="Arial"/>
          <w:sz w:val="24"/>
          <w:szCs w:val="24"/>
        </w:rPr>
        <w:t xml:space="preserve">la intervención con rifapentina/isoniazida </w:t>
      </w:r>
      <w:r>
        <w:rPr>
          <w:rFonts w:ascii="Arial" w:eastAsia="Arial" w:hAnsi="Arial" w:cs="Arial"/>
          <w:sz w:val="24"/>
          <w:szCs w:val="24"/>
        </w:rPr>
        <w:t>se entregó</w:t>
      </w:r>
      <w:r w:rsidR="5141EA98" w:rsidRPr="5141EA98">
        <w:rPr>
          <w:rFonts w:ascii="Arial" w:eastAsia="Arial" w:hAnsi="Arial" w:cs="Arial"/>
          <w:sz w:val="24"/>
          <w:szCs w:val="24"/>
        </w:rPr>
        <w:t xml:space="preserve"> solo durante un mes</w:t>
      </w:r>
      <w:r w:rsidR="0095594C">
        <w:rPr>
          <w:rFonts w:ascii="Arial" w:eastAsia="Arial" w:hAnsi="Arial" w:cs="Arial"/>
          <w:sz w:val="24"/>
          <w:szCs w:val="24"/>
        </w:rPr>
        <w:t xml:space="preserve"> y con</w:t>
      </w:r>
      <w:r w:rsidR="5141EA98" w:rsidRPr="5141EA98">
        <w:rPr>
          <w:rFonts w:ascii="Arial" w:eastAsia="Arial" w:hAnsi="Arial" w:cs="Arial"/>
          <w:sz w:val="24"/>
          <w:szCs w:val="24"/>
        </w:rPr>
        <w:t xml:space="preserve"> una concentración menor </w:t>
      </w:r>
      <w:r w:rsidR="5141EA98" w:rsidRPr="005A473F">
        <w:rPr>
          <w:rFonts w:ascii="Arial" w:eastAsia="Arial" w:hAnsi="Arial" w:cs="Arial"/>
          <w:sz w:val="24"/>
          <w:szCs w:val="24"/>
        </w:rPr>
        <w:t>(1</w:t>
      </w:r>
      <w:r w:rsidR="005A473F" w:rsidRPr="0014533D">
        <w:rPr>
          <w:rFonts w:ascii="Arial" w:eastAsia="Arial" w:hAnsi="Arial" w:cs="Arial"/>
          <w:sz w:val="24"/>
          <w:szCs w:val="24"/>
        </w:rPr>
        <w:t>0</w:t>
      </w:r>
      <w:r w:rsidR="5141EA98" w:rsidRPr="005A473F">
        <w:rPr>
          <w:rFonts w:ascii="Arial" w:eastAsia="Arial" w:hAnsi="Arial" w:cs="Arial"/>
          <w:sz w:val="24"/>
          <w:szCs w:val="24"/>
        </w:rPr>
        <w:t>),</w:t>
      </w:r>
      <w:r w:rsidR="5141EA98" w:rsidRPr="5141EA98">
        <w:rPr>
          <w:rFonts w:ascii="Arial" w:eastAsia="Arial" w:hAnsi="Arial" w:cs="Arial"/>
          <w:sz w:val="24"/>
          <w:szCs w:val="24"/>
        </w:rPr>
        <w:t xml:space="preserve"> mientras que en </w:t>
      </w:r>
      <w:r>
        <w:rPr>
          <w:rFonts w:ascii="Arial" w:eastAsia="Arial" w:hAnsi="Arial" w:cs="Arial"/>
          <w:sz w:val="24"/>
          <w:szCs w:val="24"/>
        </w:rPr>
        <w:t>otro</w:t>
      </w:r>
      <w:r w:rsidR="00591937">
        <w:rPr>
          <w:rFonts w:ascii="Arial" w:eastAsia="Arial" w:hAnsi="Arial" w:cs="Arial"/>
          <w:sz w:val="24"/>
          <w:szCs w:val="24"/>
        </w:rPr>
        <w:t xml:space="preserve"> la</w:t>
      </w:r>
      <w:r w:rsidR="5141EA98" w:rsidRPr="5141EA98">
        <w:rPr>
          <w:rFonts w:ascii="Arial" w:eastAsia="Arial" w:hAnsi="Arial" w:cs="Arial"/>
          <w:sz w:val="24"/>
          <w:szCs w:val="24"/>
        </w:rPr>
        <w:t xml:space="preserve"> isoniazida sola se entregó durante seis meses</w:t>
      </w:r>
      <w:r w:rsidR="00591937">
        <w:rPr>
          <w:rFonts w:ascii="Arial" w:eastAsia="Arial" w:hAnsi="Arial" w:cs="Arial"/>
          <w:sz w:val="24"/>
          <w:szCs w:val="24"/>
        </w:rPr>
        <w:t xml:space="preserve"> </w:t>
      </w:r>
      <w:r w:rsidR="00591937" w:rsidRPr="5141EA98">
        <w:rPr>
          <w:rFonts w:ascii="Arial" w:eastAsia="Arial" w:hAnsi="Arial" w:cs="Arial"/>
          <w:sz w:val="24"/>
          <w:szCs w:val="24"/>
        </w:rPr>
        <w:t>(1</w:t>
      </w:r>
      <w:r w:rsidR="0007291B">
        <w:rPr>
          <w:rFonts w:ascii="Arial" w:eastAsia="Arial" w:hAnsi="Arial" w:cs="Arial"/>
          <w:sz w:val="24"/>
          <w:szCs w:val="24"/>
        </w:rPr>
        <w:t>8</w:t>
      </w:r>
      <w:r w:rsidR="00591937" w:rsidRPr="5141EA98">
        <w:rPr>
          <w:rFonts w:ascii="Arial" w:eastAsia="Arial" w:hAnsi="Arial" w:cs="Arial"/>
          <w:sz w:val="24"/>
          <w:szCs w:val="24"/>
        </w:rPr>
        <w:t>)</w:t>
      </w:r>
      <w:r w:rsidR="5141EA98" w:rsidRPr="5141EA98">
        <w:rPr>
          <w:rFonts w:ascii="Arial" w:eastAsia="Arial" w:hAnsi="Arial" w:cs="Arial"/>
          <w:sz w:val="24"/>
          <w:szCs w:val="24"/>
        </w:rPr>
        <w:t xml:space="preserve">. </w:t>
      </w:r>
      <w:r>
        <w:rPr>
          <w:rFonts w:ascii="Arial" w:eastAsia="Arial" w:hAnsi="Arial" w:cs="Arial"/>
          <w:sz w:val="24"/>
          <w:szCs w:val="24"/>
        </w:rPr>
        <w:t xml:space="preserve">Por </w:t>
      </w:r>
      <w:r w:rsidR="0095594C">
        <w:rPr>
          <w:rFonts w:ascii="Arial" w:eastAsia="Arial" w:hAnsi="Arial" w:cs="Arial"/>
          <w:sz w:val="24"/>
          <w:szCs w:val="24"/>
        </w:rPr>
        <w:t>último,</w:t>
      </w:r>
      <w:r>
        <w:rPr>
          <w:rFonts w:ascii="Arial" w:eastAsia="Arial" w:hAnsi="Arial" w:cs="Arial"/>
          <w:sz w:val="24"/>
          <w:szCs w:val="24"/>
        </w:rPr>
        <w:t xml:space="preserve"> el tercer ECA</w:t>
      </w:r>
      <w:r w:rsidR="00591937">
        <w:rPr>
          <w:rFonts w:ascii="Arial" w:eastAsia="Arial" w:hAnsi="Arial" w:cs="Arial"/>
          <w:sz w:val="24"/>
          <w:szCs w:val="24"/>
        </w:rPr>
        <w:t xml:space="preserve"> </w:t>
      </w:r>
      <w:r w:rsidR="5141EA98" w:rsidRPr="5141EA98">
        <w:rPr>
          <w:rFonts w:ascii="Arial" w:eastAsia="Arial" w:hAnsi="Arial" w:cs="Arial"/>
          <w:sz w:val="24"/>
          <w:szCs w:val="24"/>
        </w:rPr>
        <w:t>(1</w:t>
      </w:r>
      <w:r w:rsidR="005A473F">
        <w:rPr>
          <w:rFonts w:ascii="Arial" w:eastAsia="Arial" w:hAnsi="Arial" w:cs="Arial"/>
          <w:sz w:val="24"/>
          <w:szCs w:val="24"/>
        </w:rPr>
        <w:t>7</w:t>
      </w:r>
      <w:r w:rsidR="5141EA98" w:rsidRPr="5141EA98">
        <w:rPr>
          <w:rFonts w:ascii="Arial" w:eastAsia="Arial" w:hAnsi="Arial" w:cs="Arial"/>
          <w:sz w:val="24"/>
          <w:szCs w:val="24"/>
        </w:rPr>
        <w:t xml:space="preserve">) entregó tanto la intervención como </w:t>
      </w:r>
      <w:r w:rsidR="0095594C">
        <w:rPr>
          <w:rFonts w:ascii="Arial" w:eastAsia="Arial" w:hAnsi="Arial" w:cs="Arial"/>
          <w:sz w:val="24"/>
          <w:szCs w:val="24"/>
        </w:rPr>
        <w:t xml:space="preserve">el comparador </w:t>
      </w:r>
      <w:r w:rsidR="5141EA98" w:rsidRPr="5141EA98">
        <w:rPr>
          <w:rFonts w:ascii="Arial" w:eastAsia="Arial" w:hAnsi="Arial" w:cs="Arial"/>
          <w:sz w:val="24"/>
          <w:szCs w:val="24"/>
        </w:rPr>
        <w:t xml:space="preserve">según lo estipulado en el protocolo de esta revisión. También es importante mencionar que los desenlaces TB activa y hepatotoxicidad fueron definidos similarmente en los tres ECA, sin embargo, </w:t>
      </w:r>
      <w:r w:rsidR="0095594C">
        <w:rPr>
          <w:rFonts w:ascii="Arial" w:eastAsia="Arial" w:hAnsi="Arial" w:cs="Arial"/>
          <w:sz w:val="24"/>
          <w:szCs w:val="24"/>
        </w:rPr>
        <w:t>un</w:t>
      </w:r>
      <w:r w:rsidR="0095594C" w:rsidRPr="5141EA98">
        <w:rPr>
          <w:rFonts w:ascii="Arial" w:eastAsia="Arial" w:hAnsi="Arial" w:cs="Arial"/>
          <w:sz w:val="24"/>
          <w:szCs w:val="24"/>
        </w:rPr>
        <w:t xml:space="preserve"> </w:t>
      </w:r>
      <w:r w:rsidR="5141EA98" w:rsidRPr="5141EA98">
        <w:rPr>
          <w:rFonts w:ascii="Arial" w:eastAsia="Arial" w:hAnsi="Arial" w:cs="Arial"/>
          <w:sz w:val="24"/>
          <w:szCs w:val="24"/>
        </w:rPr>
        <w:t>estudio (1</w:t>
      </w:r>
      <w:r w:rsidR="005A473F">
        <w:rPr>
          <w:rFonts w:ascii="Arial" w:eastAsia="Arial" w:hAnsi="Arial" w:cs="Arial"/>
          <w:sz w:val="24"/>
          <w:szCs w:val="24"/>
        </w:rPr>
        <w:t>0</w:t>
      </w:r>
      <w:r w:rsidR="5141EA98" w:rsidRPr="5141EA98">
        <w:rPr>
          <w:rFonts w:ascii="Arial" w:eastAsia="Arial" w:hAnsi="Arial" w:cs="Arial"/>
          <w:sz w:val="24"/>
          <w:szCs w:val="24"/>
        </w:rPr>
        <w:t xml:space="preserve">) </w:t>
      </w:r>
      <w:r w:rsidR="0095594C">
        <w:rPr>
          <w:rFonts w:ascii="Arial" w:eastAsia="Arial" w:hAnsi="Arial" w:cs="Arial"/>
          <w:sz w:val="24"/>
          <w:szCs w:val="24"/>
        </w:rPr>
        <w:t>presentó</w:t>
      </w:r>
      <w:r w:rsidR="5141EA98" w:rsidRPr="5141EA98">
        <w:rPr>
          <w:rFonts w:ascii="Arial" w:eastAsia="Arial" w:hAnsi="Arial" w:cs="Arial"/>
          <w:sz w:val="24"/>
          <w:szCs w:val="24"/>
        </w:rPr>
        <w:t xml:space="preserve"> resultados de hepatotoxicidad</w:t>
      </w:r>
      <w:r w:rsidR="0095594C">
        <w:rPr>
          <w:rFonts w:ascii="Arial" w:eastAsia="Arial" w:hAnsi="Arial" w:cs="Arial"/>
          <w:sz w:val="24"/>
          <w:szCs w:val="24"/>
        </w:rPr>
        <w:t xml:space="preserve"> sin especificar el grupo</w:t>
      </w:r>
      <w:r w:rsidR="5141EA98" w:rsidRPr="5141EA98">
        <w:rPr>
          <w:rFonts w:ascii="Arial" w:eastAsia="Arial" w:hAnsi="Arial" w:cs="Arial"/>
          <w:sz w:val="24"/>
          <w:szCs w:val="24"/>
        </w:rPr>
        <w:t xml:space="preserve">, lo que </w:t>
      </w:r>
      <w:r w:rsidR="00B941C0">
        <w:rPr>
          <w:rFonts w:ascii="Arial" w:eastAsia="Arial" w:hAnsi="Arial" w:cs="Arial"/>
          <w:sz w:val="24"/>
          <w:szCs w:val="24"/>
        </w:rPr>
        <w:t>impidió</w:t>
      </w:r>
      <w:r w:rsidR="00B941C0" w:rsidRPr="5141EA98">
        <w:rPr>
          <w:rFonts w:ascii="Arial" w:eastAsia="Arial" w:hAnsi="Arial" w:cs="Arial"/>
          <w:sz w:val="24"/>
          <w:szCs w:val="24"/>
        </w:rPr>
        <w:t xml:space="preserve"> </w:t>
      </w:r>
      <w:r w:rsidR="5141EA98" w:rsidRPr="5141EA98">
        <w:rPr>
          <w:rFonts w:ascii="Arial" w:eastAsia="Arial" w:hAnsi="Arial" w:cs="Arial"/>
          <w:sz w:val="24"/>
          <w:szCs w:val="24"/>
        </w:rPr>
        <w:t xml:space="preserve">obtener datos para el cálculo planificado. Adicionalmente este último estudio tampoco calculó la culminación del tratamiento. </w:t>
      </w:r>
    </w:p>
    <w:p w14:paraId="561C2E49" w14:textId="3D12F600" w:rsidR="538C4EBD" w:rsidRDefault="538C4EBD" w:rsidP="00BA6944">
      <w:pPr>
        <w:spacing w:after="0" w:line="240" w:lineRule="auto"/>
        <w:ind w:firstLine="680"/>
        <w:jc w:val="both"/>
        <w:rPr>
          <w:rFonts w:ascii="Arial" w:eastAsia="Arial" w:hAnsi="Arial" w:cs="Arial"/>
          <w:sz w:val="24"/>
          <w:szCs w:val="24"/>
        </w:rPr>
      </w:pPr>
    </w:p>
    <w:p w14:paraId="010F0A38" w14:textId="2BC5B62D" w:rsidR="20D66459" w:rsidRDefault="001C3F7D" w:rsidP="007554DA">
      <w:pPr>
        <w:spacing w:after="0" w:line="360" w:lineRule="auto"/>
        <w:ind w:firstLine="680"/>
        <w:jc w:val="both"/>
        <w:rPr>
          <w:rFonts w:ascii="Arial" w:eastAsia="Arial" w:hAnsi="Arial" w:cs="Arial"/>
          <w:sz w:val="24"/>
          <w:szCs w:val="24"/>
        </w:rPr>
      </w:pPr>
      <w:r>
        <w:rPr>
          <w:rFonts w:ascii="Arial" w:eastAsia="Arial" w:hAnsi="Arial" w:cs="Arial"/>
          <w:sz w:val="24"/>
          <w:szCs w:val="24"/>
        </w:rPr>
        <w:t>Con</w:t>
      </w:r>
      <w:r w:rsidRPr="5141EA98">
        <w:rPr>
          <w:rFonts w:ascii="Arial" w:eastAsia="Arial" w:hAnsi="Arial" w:cs="Arial"/>
          <w:sz w:val="24"/>
          <w:szCs w:val="24"/>
        </w:rPr>
        <w:t xml:space="preserve"> </w:t>
      </w:r>
      <w:r w:rsidR="5141EA98" w:rsidRPr="5141EA98">
        <w:rPr>
          <w:rFonts w:ascii="Arial" w:eastAsia="Arial" w:hAnsi="Arial" w:cs="Arial"/>
          <w:sz w:val="24"/>
          <w:szCs w:val="24"/>
        </w:rPr>
        <w:t xml:space="preserve">relación </w:t>
      </w:r>
      <w:r>
        <w:rPr>
          <w:rFonts w:ascii="Arial" w:eastAsia="Arial" w:hAnsi="Arial" w:cs="Arial"/>
          <w:sz w:val="24"/>
          <w:szCs w:val="24"/>
        </w:rPr>
        <w:t>a</w:t>
      </w:r>
      <w:r w:rsidRPr="5141EA98">
        <w:rPr>
          <w:rFonts w:ascii="Arial" w:eastAsia="Arial" w:hAnsi="Arial" w:cs="Arial"/>
          <w:sz w:val="24"/>
          <w:szCs w:val="24"/>
        </w:rPr>
        <w:t xml:space="preserve"> </w:t>
      </w:r>
      <w:r w:rsidR="5141EA98" w:rsidRPr="5141EA98">
        <w:rPr>
          <w:rFonts w:ascii="Arial" w:eastAsia="Arial" w:hAnsi="Arial" w:cs="Arial"/>
          <w:sz w:val="24"/>
          <w:szCs w:val="24"/>
        </w:rPr>
        <w:t xml:space="preserve">los estudios de </w:t>
      </w:r>
      <w:r w:rsidR="00E0130A">
        <w:rPr>
          <w:rFonts w:ascii="Arial" w:eastAsia="Arial" w:hAnsi="Arial" w:cs="Arial"/>
          <w:sz w:val="24"/>
          <w:szCs w:val="24"/>
        </w:rPr>
        <w:t>cohortes</w:t>
      </w:r>
      <w:r w:rsidR="5141EA98" w:rsidRPr="5141EA98">
        <w:rPr>
          <w:rFonts w:ascii="Arial" w:eastAsia="Arial" w:hAnsi="Arial" w:cs="Arial"/>
          <w:sz w:val="24"/>
          <w:szCs w:val="24"/>
        </w:rPr>
        <w:t xml:space="preserve">, </w:t>
      </w:r>
      <w:r w:rsidR="00965BE1">
        <w:rPr>
          <w:rFonts w:ascii="Arial" w:eastAsia="Arial" w:hAnsi="Arial" w:cs="Arial"/>
          <w:sz w:val="24"/>
          <w:szCs w:val="24"/>
        </w:rPr>
        <w:t xml:space="preserve">estos analizaron en total </w:t>
      </w:r>
      <w:r w:rsidR="5141EA98" w:rsidRPr="5141EA98">
        <w:rPr>
          <w:rFonts w:ascii="Arial" w:eastAsia="Arial" w:hAnsi="Arial" w:cs="Arial"/>
          <w:sz w:val="24"/>
          <w:szCs w:val="24"/>
        </w:rPr>
        <w:t xml:space="preserve">335 participantes. </w:t>
      </w:r>
      <w:r w:rsidR="0095594C">
        <w:rPr>
          <w:rFonts w:ascii="Arial" w:eastAsia="Arial" w:hAnsi="Arial" w:cs="Arial"/>
          <w:sz w:val="24"/>
          <w:szCs w:val="24"/>
        </w:rPr>
        <w:t xml:space="preserve">Un estudio </w:t>
      </w:r>
      <w:r w:rsidR="5141EA98" w:rsidRPr="003F073B">
        <w:rPr>
          <w:rFonts w:ascii="Arial" w:eastAsia="Arial" w:hAnsi="Arial" w:cs="Arial"/>
          <w:sz w:val="24"/>
          <w:szCs w:val="24"/>
        </w:rPr>
        <w:t>incluyó</w:t>
      </w:r>
      <w:r w:rsidR="5141EA98" w:rsidRPr="5141EA98">
        <w:rPr>
          <w:rFonts w:ascii="Arial" w:eastAsia="Arial" w:hAnsi="Arial" w:cs="Arial"/>
          <w:sz w:val="24"/>
          <w:szCs w:val="24"/>
        </w:rPr>
        <w:t xml:space="preserve"> personas que recibían terapia biológica con anticuerpos monoclonales para la artritis reumatoide</w:t>
      </w:r>
      <w:r w:rsidR="00031FA2">
        <w:rPr>
          <w:rFonts w:ascii="Arial" w:eastAsia="Arial" w:hAnsi="Arial" w:cs="Arial"/>
          <w:sz w:val="24"/>
          <w:szCs w:val="24"/>
        </w:rPr>
        <w:t xml:space="preserve"> </w:t>
      </w:r>
      <w:r w:rsidR="00031FA2" w:rsidRPr="5141EA98">
        <w:rPr>
          <w:rFonts w:ascii="Arial" w:eastAsia="Arial" w:hAnsi="Arial" w:cs="Arial"/>
          <w:sz w:val="24"/>
          <w:szCs w:val="24"/>
        </w:rPr>
        <w:t>(1</w:t>
      </w:r>
      <w:r w:rsidR="0007291B">
        <w:rPr>
          <w:rFonts w:ascii="Arial" w:eastAsia="Arial" w:hAnsi="Arial" w:cs="Arial"/>
          <w:sz w:val="24"/>
          <w:szCs w:val="24"/>
        </w:rPr>
        <w:t>9</w:t>
      </w:r>
      <w:r w:rsidR="00031FA2" w:rsidRPr="5141EA98">
        <w:rPr>
          <w:rFonts w:ascii="Arial" w:eastAsia="Arial" w:hAnsi="Arial" w:cs="Arial"/>
          <w:sz w:val="24"/>
          <w:szCs w:val="24"/>
        </w:rPr>
        <w:t>)</w:t>
      </w:r>
      <w:r w:rsidR="00031FA2">
        <w:rPr>
          <w:rFonts w:ascii="Arial" w:eastAsia="Arial" w:hAnsi="Arial" w:cs="Arial"/>
          <w:sz w:val="24"/>
          <w:szCs w:val="24"/>
        </w:rPr>
        <w:t>, otro</w:t>
      </w:r>
      <w:r w:rsidR="5141EA98" w:rsidRPr="5141EA98">
        <w:rPr>
          <w:rFonts w:ascii="Arial" w:eastAsia="Arial" w:hAnsi="Arial" w:cs="Arial"/>
          <w:sz w:val="24"/>
          <w:szCs w:val="24"/>
        </w:rPr>
        <w:t xml:space="preserve"> </w:t>
      </w:r>
      <w:r w:rsidR="5141EA98" w:rsidRPr="003F073B">
        <w:rPr>
          <w:rFonts w:ascii="Arial" w:eastAsia="Arial" w:hAnsi="Arial" w:cs="Arial"/>
          <w:sz w:val="24"/>
          <w:szCs w:val="24"/>
        </w:rPr>
        <w:t>incluyó</w:t>
      </w:r>
      <w:r w:rsidR="5141EA98" w:rsidRPr="5141EA98">
        <w:rPr>
          <w:rFonts w:ascii="Arial" w:eastAsia="Arial" w:hAnsi="Arial" w:cs="Arial"/>
          <w:sz w:val="24"/>
          <w:szCs w:val="24"/>
        </w:rPr>
        <w:t xml:space="preserve"> personas con diabetes mellitus mal controlada </w:t>
      </w:r>
      <w:r w:rsidR="00031FA2">
        <w:rPr>
          <w:rFonts w:ascii="Arial" w:eastAsia="Arial" w:hAnsi="Arial" w:cs="Arial"/>
          <w:sz w:val="24"/>
          <w:szCs w:val="24"/>
        </w:rPr>
        <w:t xml:space="preserve">con </w:t>
      </w:r>
      <w:r w:rsidR="5141EA98" w:rsidRPr="5141EA98">
        <w:rPr>
          <w:rFonts w:ascii="Arial" w:eastAsia="Arial" w:hAnsi="Arial" w:cs="Arial"/>
          <w:sz w:val="24"/>
          <w:szCs w:val="24"/>
        </w:rPr>
        <w:t>hemoglobina glicosilada ≥ 9%</w:t>
      </w:r>
      <w:r w:rsidR="00031FA2">
        <w:rPr>
          <w:rFonts w:ascii="Arial" w:eastAsia="Arial" w:hAnsi="Arial" w:cs="Arial"/>
          <w:sz w:val="24"/>
          <w:szCs w:val="24"/>
        </w:rPr>
        <w:t xml:space="preserve"> (</w:t>
      </w:r>
      <w:r w:rsidR="0007291B">
        <w:rPr>
          <w:rFonts w:ascii="Arial" w:eastAsia="Arial" w:hAnsi="Arial" w:cs="Arial"/>
          <w:sz w:val="24"/>
          <w:szCs w:val="24"/>
        </w:rPr>
        <w:t>20</w:t>
      </w:r>
      <w:r w:rsidR="00031FA2">
        <w:rPr>
          <w:rFonts w:ascii="Arial" w:eastAsia="Arial" w:hAnsi="Arial" w:cs="Arial"/>
          <w:sz w:val="24"/>
          <w:szCs w:val="24"/>
        </w:rPr>
        <w:t>), el último estudio</w:t>
      </w:r>
      <w:r w:rsidR="5141EA98" w:rsidRPr="5141EA98">
        <w:rPr>
          <w:rFonts w:ascii="Arial" w:eastAsia="Arial" w:hAnsi="Arial" w:cs="Arial"/>
          <w:sz w:val="24"/>
          <w:szCs w:val="24"/>
        </w:rPr>
        <w:t xml:space="preserve"> </w:t>
      </w:r>
      <w:r w:rsidR="5141EA98" w:rsidRPr="003F073B">
        <w:rPr>
          <w:rFonts w:ascii="Arial" w:eastAsia="Arial" w:hAnsi="Arial" w:cs="Arial"/>
          <w:sz w:val="24"/>
          <w:szCs w:val="24"/>
        </w:rPr>
        <w:t>incluyó</w:t>
      </w:r>
      <w:r w:rsidR="5141EA98" w:rsidRPr="5141EA98">
        <w:rPr>
          <w:rFonts w:ascii="Arial" w:eastAsia="Arial" w:hAnsi="Arial" w:cs="Arial"/>
          <w:sz w:val="24"/>
          <w:szCs w:val="24"/>
        </w:rPr>
        <w:t xml:space="preserve"> personas con enfermedad renal crónica en </w:t>
      </w:r>
      <w:r w:rsidR="00031FA2" w:rsidRPr="5141EA98">
        <w:rPr>
          <w:rFonts w:ascii="Arial" w:eastAsia="Arial" w:hAnsi="Arial" w:cs="Arial"/>
          <w:sz w:val="24"/>
          <w:szCs w:val="24"/>
        </w:rPr>
        <w:t>diálisis</w:t>
      </w:r>
      <w:r w:rsidR="00031FA2">
        <w:rPr>
          <w:rFonts w:ascii="Arial" w:eastAsia="Arial" w:hAnsi="Arial" w:cs="Arial"/>
          <w:sz w:val="24"/>
          <w:szCs w:val="24"/>
        </w:rPr>
        <w:t xml:space="preserve"> </w:t>
      </w:r>
      <w:r w:rsidR="00031FA2" w:rsidRPr="5141EA98">
        <w:rPr>
          <w:rFonts w:ascii="Arial" w:eastAsia="Arial" w:hAnsi="Arial" w:cs="Arial"/>
          <w:sz w:val="24"/>
          <w:szCs w:val="24"/>
        </w:rPr>
        <w:t>(</w:t>
      </w:r>
      <w:r w:rsidR="00031FA2">
        <w:rPr>
          <w:rFonts w:ascii="Arial" w:eastAsia="Arial" w:hAnsi="Arial" w:cs="Arial"/>
          <w:sz w:val="24"/>
          <w:szCs w:val="24"/>
        </w:rPr>
        <w:t>2</w:t>
      </w:r>
      <w:r w:rsidR="0007291B">
        <w:rPr>
          <w:rFonts w:ascii="Arial" w:eastAsia="Arial" w:hAnsi="Arial" w:cs="Arial"/>
          <w:sz w:val="24"/>
          <w:szCs w:val="24"/>
        </w:rPr>
        <w:t>1</w:t>
      </w:r>
      <w:r w:rsidR="00031FA2" w:rsidRPr="5141EA98">
        <w:rPr>
          <w:rFonts w:ascii="Arial" w:eastAsia="Arial" w:hAnsi="Arial" w:cs="Arial"/>
          <w:sz w:val="24"/>
          <w:szCs w:val="24"/>
        </w:rPr>
        <w:t>).</w:t>
      </w:r>
      <w:r w:rsidR="00720DAE">
        <w:rPr>
          <w:rFonts w:ascii="Arial" w:eastAsia="Arial" w:hAnsi="Arial" w:cs="Arial"/>
          <w:sz w:val="24"/>
          <w:szCs w:val="24"/>
        </w:rPr>
        <w:t xml:space="preserve"> </w:t>
      </w:r>
      <w:r w:rsidR="5141EA98" w:rsidRPr="5141EA98">
        <w:rPr>
          <w:rFonts w:ascii="Arial" w:eastAsia="Arial" w:hAnsi="Arial" w:cs="Arial"/>
          <w:sz w:val="24"/>
          <w:szCs w:val="24"/>
        </w:rPr>
        <w:t>E</w:t>
      </w:r>
      <w:r w:rsidR="00C50F4F">
        <w:rPr>
          <w:rFonts w:ascii="Arial" w:eastAsia="Arial" w:hAnsi="Arial" w:cs="Arial"/>
          <w:sz w:val="24"/>
          <w:szCs w:val="24"/>
        </w:rPr>
        <w:t xml:space="preserve">l </w:t>
      </w:r>
      <w:r w:rsidR="5141EA98" w:rsidRPr="5141EA98">
        <w:rPr>
          <w:rFonts w:ascii="Arial" w:eastAsia="Arial" w:hAnsi="Arial" w:cs="Arial"/>
          <w:sz w:val="24"/>
          <w:szCs w:val="24"/>
        </w:rPr>
        <w:t xml:space="preserve">diagnóstico de ILTB se realizó con IGRA en </w:t>
      </w:r>
      <w:r w:rsidR="00B941C0">
        <w:rPr>
          <w:rFonts w:ascii="Arial" w:eastAsia="Arial" w:hAnsi="Arial" w:cs="Arial"/>
          <w:sz w:val="24"/>
          <w:szCs w:val="24"/>
        </w:rPr>
        <w:t xml:space="preserve">todos </w:t>
      </w:r>
      <w:r w:rsidR="5141EA98" w:rsidRPr="5141EA98">
        <w:rPr>
          <w:rFonts w:ascii="Arial" w:eastAsia="Arial" w:hAnsi="Arial" w:cs="Arial"/>
          <w:sz w:val="24"/>
          <w:szCs w:val="24"/>
        </w:rPr>
        <w:t xml:space="preserve">los </w:t>
      </w:r>
      <w:r w:rsidR="00B941C0">
        <w:rPr>
          <w:rFonts w:ascii="Arial" w:eastAsia="Arial" w:hAnsi="Arial" w:cs="Arial"/>
          <w:sz w:val="24"/>
          <w:szCs w:val="24"/>
        </w:rPr>
        <w:t>casos</w:t>
      </w:r>
      <w:r w:rsidR="5141EA98" w:rsidRPr="5141EA98">
        <w:rPr>
          <w:rFonts w:ascii="Arial" w:eastAsia="Arial" w:hAnsi="Arial" w:cs="Arial"/>
          <w:sz w:val="24"/>
          <w:szCs w:val="24"/>
        </w:rPr>
        <w:t xml:space="preserve">. </w:t>
      </w:r>
      <w:r w:rsidR="00E83FBE">
        <w:rPr>
          <w:rFonts w:ascii="Arial" w:eastAsia="Arial" w:hAnsi="Arial" w:cs="Arial"/>
          <w:sz w:val="24"/>
          <w:szCs w:val="24"/>
        </w:rPr>
        <w:t>También</w:t>
      </w:r>
      <w:r w:rsidR="5141EA98" w:rsidRPr="5141EA98">
        <w:rPr>
          <w:rFonts w:ascii="Arial" w:eastAsia="Arial" w:hAnsi="Arial" w:cs="Arial"/>
          <w:sz w:val="24"/>
          <w:szCs w:val="24"/>
        </w:rPr>
        <w:t xml:space="preserve">, los tres estudios emplearon la intervención rifapentina/isoniazida por 3 meses y la comparación isoniazida sola por 9 meses. Aunque los tres estudios definieron los desenlaces de forma similar, solo </w:t>
      </w:r>
      <w:r w:rsidR="00031FA2">
        <w:rPr>
          <w:rFonts w:ascii="Arial" w:eastAsia="Arial" w:hAnsi="Arial" w:cs="Arial"/>
          <w:sz w:val="24"/>
          <w:szCs w:val="24"/>
        </w:rPr>
        <w:t>uno</w:t>
      </w:r>
      <w:r w:rsidR="5141EA98" w:rsidRPr="5141EA98">
        <w:rPr>
          <w:rFonts w:ascii="Arial" w:eastAsia="Arial" w:hAnsi="Arial" w:cs="Arial"/>
          <w:sz w:val="24"/>
          <w:szCs w:val="24"/>
        </w:rPr>
        <w:t xml:space="preserve"> (1</w:t>
      </w:r>
      <w:r w:rsidR="0007291B">
        <w:rPr>
          <w:rFonts w:ascii="Arial" w:eastAsia="Arial" w:hAnsi="Arial" w:cs="Arial"/>
          <w:sz w:val="24"/>
          <w:szCs w:val="24"/>
        </w:rPr>
        <w:t>9</w:t>
      </w:r>
      <w:r w:rsidR="5141EA98" w:rsidRPr="5141EA98">
        <w:rPr>
          <w:rFonts w:ascii="Arial" w:eastAsia="Arial" w:hAnsi="Arial" w:cs="Arial"/>
          <w:sz w:val="24"/>
          <w:szCs w:val="24"/>
        </w:rPr>
        <w:t xml:space="preserve">) </w:t>
      </w:r>
      <w:r w:rsidR="5141EA98" w:rsidRPr="003F073B">
        <w:rPr>
          <w:rFonts w:ascii="Arial" w:eastAsia="Arial" w:hAnsi="Arial" w:cs="Arial"/>
          <w:sz w:val="24"/>
          <w:szCs w:val="24"/>
        </w:rPr>
        <w:t>calculó</w:t>
      </w:r>
      <w:r w:rsidR="5141EA98" w:rsidRPr="5141EA98">
        <w:rPr>
          <w:rFonts w:ascii="Arial" w:eastAsia="Arial" w:hAnsi="Arial" w:cs="Arial"/>
          <w:sz w:val="24"/>
          <w:szCs w:val="24"/>
        </w:rPr>
        <w:t xml:space="preserve"> la incidencia de TB activa.</w:t>
      </w:r>
    </w:p>
    <w:p w14:paraId="1A2129C0" w14:textId="054B680C" w:rsidR="00591937" w:rsidRDefault="00591937" w:rsidP="007554DA">
      <w:pPr>
        <w:spacing w:after="0" w:line="360" w:lineRule="auto"/>
        <w:ind w:firstLine="680"/>
        <w:jc w:val="both"/>
        <w:rPr>
          <w:rFonts w:ascii="Arial" w:eastAsia="Arial" w:hAnsi="Arial" w:cs="Arial"/>
          <w:sz w:val="24"/>
          <w:szCs w:val="24"/>
        </w:rPr>
      </w:pPr>
    </w:p>
    <w:p w14:paraId="38E337CD" w14:textId="7FE08A16" w:rsidR="00591937" w:rsidRDefault="00591937" w:rsidP="007554DA">
      <w:pPr>
        <w:spacing w:after="0" w:line="360" w:lineRule="auto"/>
        <w:ind w:firstLine="680"/>
        <w:jc w:val="both"/>
        <w:rPr>
          <w:rFonts w:ascii="Arial" w:eastAsia="Arial" w:hAnsi="Arial" w:cs="Arial"/>
          <w:sz w:val="24"/>
          <w:szCs w:val="24"/>
        </w:rPr>
      </w:pPr>
    </w:p>
    <w:p w14:paraId="641E6D4B" w14:textId="7E53C776" w:rsidR="00591937" w:rsidRDefault="00591937" w:rsidP="007554DA">
      <w:pPr>
        <w:spacing w:after="0" w:line="360" w:lineRule="auto"/>
        <w:ind w:firstLine="680"/>
        <w:jc w:val="both"/>
        <w:rPr>
          <w:rFonts w:ascii="Arial" w:eastAsia="Arial" w:hAnsi="Arial" w:cs="Arial"/>
          <w:sz w:val="24"/>
          <w:szCs w:val="24"/>
        </w:rPr>
      </w:pPr>
    </w:p>
    <w:p w14:paraId="6F17E550" w14:textId="02C51A30" w:rsidR="00591937" w:rsidRDefault="00591937" w:rsidP="538C4EBD">
      <w:pPr>
        <w:spacing w:after="0" w:line="360" w:lineRule="auto"/>
        <w:jc w:val="both"/>
        <w:rPr>
          <w:rFonts w:ascii="Arial" w:eastAsia="Arial" w:hAnsi="Arial" w:cs="Arial"/>
          <w:sz w:val="24"/>
          <w:szCs w:val="24"/>
        </w:rPr>
      </w:pPr>
    </w:p>
    <w:p w14:paraId="51FE6C26" w14:textId="77777777" w:rsidR="00336EE5" w:rsidRDefault="00336EE5" w:rsidP="538C4EBD">
      <w:pPr>
        <w:spacing w:after="0" w:line="360" w:lineRule="auto"/>
        <w:jc w:val="both"/>
        <w:rPr>
          <w:rFonts w:ascii="Arial" w:eastAsia="Arial" w:hAnsi="Arial" w:cs="Arial"/>
          <w:sz w:val="24"/>
          <w:szCs w:val="24"/>
        </w:rPr>
        <w:sectPr w:rsidR="00336EE5" w:rsidSect="00081C8F">
          <w:headerReference w:type="default" r:id="rId12"/>
          <w:pgSz w:w="12240" w:h="15840"/>
          <w:pgMar w:top="1440" w:right="1440" w:bottom="1440" w:left="1440" w:header="720" w:footer="720" w:gutter="0"/>
          <w:cols w:space="720"/>
          <w:titlePg/>
          <w:docGrid w:linePitch="360"/>
        </w:sectPr>
      </w:pPr>
    </w:p>
    <w:p w14:paraId="6C1D82D5" w14:textId="5AEAB2BD" w:rsidR="00591937" w:rsidRPr="001118B9" w:rsidRDefault="00D5557E" w:rsidP="538C4EBD">
      <w:pPr>
        <w:spacing w:after="0" w:line="360" w:lineRule="auto"/>
        <w:jc w:val="both"/>
        <w:rPr>
          <w:rFonts w:ascii="Arial" w:eastAsia="Arial" w:hAnsi="Arial" w:cs="Arial"/>
          <w:i/>
          <w:iCs/>
          <w:sz w:val="24"/>
          <w:szCs w:val="24"/>
        </w:rPr>
      </w:pPr>
      <w:r w:rsidRPr="00720DAE">
        <w:rPr>
          <w:rFonts w:ascii="Arial" w:eastAsia="Arial" w:hAnsi="Arial" w:cs="Arial"/>
          <w:b/>
          <w:bCs/>
          <w:noProof/>
          <w:sz w:val="24"/>
          <w:szCs w:val="24"/>
        </w:rPr>
        <w:lastRenderedPageBreak/>
        <mc:AlternateContent>
          <mc:Choice Requires="wps">
            <w:drawing>
              <wp:anchor distT="45720" distB="45720" distL="114300" distR="114300" simplePos="0" relativeHeight="251667456" behindDoc="0" locked="0" layoutInCell="1" allowOverlap="1" wp14:anchorId="11D9C348" wp14:editId="23C438C0">
                <wp:simplePos x="0" y="0"/>
                <wp:positionH relativeFrom="margin">
                  <wp:align>right</wp:align>
                </wp:positionH>
                <wp:positionV relativeFrom="paragraph">
                  <wp:posOffset>391350</wp:posOffset>
                </wp:positionV>
                <wp:extent cx="8217535" cy="535559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7535" cy="5355771"/>
                        </a:xfrm>
                        <a:prstGeom prst="rect">
                          <a:avLst/>
                        </a:prstGeom>
                        <a:solidFill>
                          <a:srgbClr val="FFFFFF"/>
                        </a:solidFill>
                        <a:ln w="9525">
                          <a:noFill/>
                          <a:miter lim="800000"/>
                          <a:headEnd/>
                          <a:tailEnd/>
                        </a:ln>
                      </wps:spPr>
                      <wps:txbx>
                        <w:txbxContent>
                          <w:tbl>
                            <w:tblPr>
                              <w:tblStyle w:val="Tablanormal2"/>
                              <w:tblW w:w="12753" w:type="dxa"/>
                              <w:tblLayout w:type="fixed"/>
                              <w:tblLook w:val="04A0" w:firstRow="1" w:lastRow="0" w:firstColumn="1" w:lastColumn="0" w:noHBand="0" w:noVBand="1"/>
                            </w:tblPr>
                            <w:tblGrid>
                              <w:gridCol w:w="988"/>
                              <w:gridCol w:w="850"/>
                              <w:gridCol w:w="992"/>
                              <w:gridCol w:w="1134"/>
                              <w:gridCol w:w="993"/>
                              <w:gridCol w:w="850"/>
                              <w:gridCol w:w="709"/>
                              <w:gridCol w:w="1134"/>
                              <w:gridCol w:w="567"/>
                              <w:gridCol w:w="850"/>
                              <w:gridCol w:w="1276"/>
                              <w:gridCol w:w="1134"/>
                              <w:gridCol w:w="1276"/>
                            </w:tblGrid>
                            <w:tr w:rsidR="00AE0183" w:rsidRPr="000111F5" w14:paraId="018D5B88" w14:textId="77777777" w:rsidTr="001118B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B976402" w14:textId="77777777" w:rsidR="00AE0183" w:rsidRPr="000111F5" w:rsidRDefault="00AE0183" w:rsidP="00D5557E">
                                  <w:pPr>
                                    <w:rPr>
                                      <w:rFonts w:ascii="Arial Narrow" w:hAnsi="Arial Narrow" w:cs="Arial"/>
                                      <w:sz w:val="24"/>
                                      <w:szCs w:val="24"/>
                                    </w:rPr>
                                  </w:pPr>
                                  <w:r w:rsidRPr="000111F5">
                                    <w:rPr>
                                      <w:rFonts w:ascii="Arial Narrow" w:hAnsi="Arial Narrow" w:cs="Arial"/>
                                      <w:sz w:val="18"/>
                                      <w:szCs w:val="18"/>
                                    </w:rPr>
                                    <w:t>Autor/ año</w:t>
                                  </w:r>
                                </w:p>
                              </w:tc>
                              <w:tc>
                                <w:tcPr>
                                  <w:tcW w:w="850" w:type="dxa"/>
                                  <w:vMerge w:val="restart"/>
                                </w:tcPr>
                                <w:p w14:paraId="59E478D7"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 xml:space="preserve">Tipo de diseño </w:t>
                                  </w:r>
                                </w:p>
                              </w:tc>
                              <w:tc>
                                <w:tcPr>
                                  <w:tcW w:w="992" w:type="dxa"/>
                                  <w:vMerge w:val="restart"/>
                                </w:tcPr>
                                <w:p w14:paraId="2CFCC153"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Lugar de estudio</w:t>
                                  </w:r>
                                </w:p>
                              </w:tc>
                              <w:tc>
                                <w:tcPr>
                                  <w:tcW w:w="1134" w:type="dxa"/>
                                  <w:vMerge w:val="restart"/>
                                </w:tcPr>
                                <w:p w14:paraId="7791523C"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Causa de inmuno</w:t>
                                  </w:r>
                                  <w:r>
                                    <w:rPr>
                                      <w:rFonts w:ascii="Arial Narrow" w:hAnsi="Arial Narrow" w:cs="Arial"/>
                                      <w:sz w:val="18"/>
                                      <w:szCs w:val="18"/>
                                    </w:rPr>
                                    <w:t>-</w:t>
                                  </w:r>
                                  <w:r w:rsidRPr="000111F5">
                                    <w:rPr>
                                      <w:rFonts w:ascii="Arial Narrow" w:hAnsi="Arial Narrow" w:cs="Arial"/>
                                      <w:sz w:val="18"/>
                                      <w:szCs w:val="18"/>
                                    </w:rPr>
                                    <w:t>depresión</w:t>
                                  </w:r>
                                </w:p>
                              </w:tc>
                              <w:tc>
                                <w:tcPr>
                                  <w:tcW w:w="993" w:type="dxa"/>
                                  <w:vMerge w:val="restart"/>
                                </w:tcPr>
                                <w:p w14:paraId="1D0CB3C5"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Edad en años</w:t>
                                  </w:r>
                                </w:p>
                                <w:p w14:paraId="0B595CAB"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 xml:space="preserve">mediana (ECA) </w:t>
                                  </w:r>
                                </w:p>
                                <w:p w14:paraId="7E44C643"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media (cohorte)</w:t>
                                  </w:r>
                                </w:p>
                              </w:tc>
                              <w:tc>
                                <w:tcPr>
                                  <w:tcW w:w="850" w:type="dxa"/>
                                  <w:vMerge w:val="restart"/>
                                </w:tcPr>
                                <w:p w14:paraId="2F76F6BF"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Tipo de prueba TB latente</w:t>
                                  </w:r>
                                </w:p>
                              </w:tc>
                              <w:tc>
                                <w:tcPr>
                                  <w:tcW w:w="709" w:type="dxa"/>
                                  <w:vMerge w:val="restart"/>
                                </w:tcPr>
                                <w:p w14:paraId="4D91CCE9" w14:textId="3E8B3D0B" w:rsidR="00AE0183"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Pr>
                                      <w:rFonts w:ascii="Arial Narrow" w:hAnsi="Arial Narrow" w:cs="Arial"/>
                                      <w:sz w:val="18"/>
                                      <w:szCs w:val="18"/>
                                    </w:rPr>
                                    <w:t>Sexo masculino %</w:t>
                                  </w:r>
                                </w:p>
                                <w:p w14:paraId="7621EDCA" w14:textId="77777777" w:rsidR="00AE0183"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p>
                                <w:p w14:paraId="0D596EA0" w14:textId="3C6A1AC5"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p>
                              </w:tc>
                              <w:tc>
                                <w:tcPr>
                                  <w:tcW w:w="1134" w:type="dxa"/>
                                  <w:vMerge w:val="restart"/>
                                </w:tcPr>
                                <w:p w14:paraId="01E4C15A" w14:textId="7F201884"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Intervención/ comparador</w:t>
                                  </w:r>
                                </w:p>
                              </w:tc>
                              <w:tc>
                                <w:tcPr>
                                  <w:tcW w:w="567" w:type="dxa"/>
                                  <w:vMerge w:val="restart"/>
                                </w:tcPr>
                                <w:p w14:paraId="474A9296" w14:textId="2A8E29EF"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Pr>
                                      <w:rFonts w:ascii="Arial Narrow" w:hAnsi="Arial Narrow" w:cs="Arial"/>
                                      <w:sz w:val="18"/>
                                      <w:szCs w:val="18"/>
                                    </w:rPr>
                                    <w:t>Uso de TAR %</w:t>
                                  </w:r>
                                </w:p>
                              </w:tc>
                              <w:tc>
                                <w:tcPr>
                                  <w:tcW w:w="850" w:type="dxa"/>
                                  <w:vMerge w:val="restart"/>
                                </w:tcPr>
                                <w:p w14:paraId="3FDA4381" w14:textId="3C84A213"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Tiempo de seguimiento (meses)</w:t>
                                  </w:r>
                                </w:p>
                              </w:tc>
                              <w:tc>
                                <w:tcPr>
                                  <w:tcW w:w="3686" w:type="dxa"/>
                                  <w:gridSpan w:val="3"/>
                                </w:tcPr>
                                <w:p w14:paraId="335C9358" w14:textId="2D5BC3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 xml:space="preserve">Desenlaces y medida de efecto: </w:t>
                                  </w:r>
                                  <w:r>
                                    <w:rPr>
                                      <w:rFonts w:ascii="Arial Narrow" w:hAnsi="Arial Narrow" w:cs="Arial"/>
                                      <w:sz w:val="18"/>
                                      <w:szCs w:val="18"/>
                                    </w:rPr>
                                    <w:t>r</w:t>
                                  </w:r>
                                  <w:r w:rsidRPr="000111F5">
                                    <w:rPr>
                                      <w:rFonts w:ascii="Arial Narrow" w:hAnsi="Arial Narrow" w:cs="Arial"/>
                                      <w:sz w:val="18"/>
                                      <w:szCs w:val="18"/>
                                    </w:rPr>
                                    <w:t>iesgo relativo (intervalo de confianza)</w:t>
                                  </w:r>
                                </w:p>
                              </w:tc>
                            </w:tr>
                            <w:tr w:rsidR="00AE0183" w:rsidRPr="000111F5" w14:paraId="29E2C8C6" w14:textId="77777777" w:rsidTr="001118B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88" w:type="dxa"/>
                                  <w:vMerge/>
                                </w:tcPr>
                                <w:p w14:paraId="26FD2B9A" w14:textId="77777777" w:rsidR="00AE0183" w:rsidRPr="000111F5" w:rsidRDefault="00AE0183" w:rsidP="00D5557E">
                                  <w:pPr>
                                    <w:rPr>
                                      <w:rFonts w:ascii="Arial Narrow" w:hAnsi="Arial Narrow" w:cs="Arial"/>
                                      <w:b w:val="0"/>
                                      <w:bCs w:val="0"/>
                                      <w:sz w:val="18"/>
                                      <w:szCs w:val="18"/>
                                    </w:rPr>
                                  </w:pPr>
                                </w:p>
                              </w:tc>
                              <w:tc>
                                <w:tcPr>
                                  <w:tcW w:w="850" w:type="dxa"/>
                                  <w:vMerge/>
                                </w:tcPr>
                                <w:p w14:paraId="597E7974"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992" w:type="dxa"/>
                                  <w:vMerge/>
                                </w:tcPr>
                                <w:p w14:paraId="6406398F"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134" w:type="dxa"/>
                                  <w:vMerge/>
                                </w:tcPr>
                                <w:p w14:paraId="5DDB0002"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993" w:type="dxa"/>
                                  <w:vMerge/>
                                </w:tcPr>
                                <w:p w14:paraId="359C3D7F"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850" w:type="dxa"/>
                                  <w:vMerge/>
                                </w:tcPr>
                                <w:p w14:paraId="45EFF2C6"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709" w:type="dxa"/>
                                  <w:vMerge/>
                                </w:tcPr>
                                <w:p w14:paraId="7E35C9BB"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134" w:type="dxa"/>
                                  <w:vMerge/>
                                </w:tcPr>
                                <w:p w14:paraId="21417444" w14:textId="3AF5AE8A"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567" w:type="dxa"/>
                                  <w:vMerge/>
                                </w:tcPr>
                                <w:p w14:paraId="2A7B9787"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850" w:type="dxa"/>
                                  <w:vMerge/>
                                </w:tcPr>
                                <w:p w14:paraId="6716227A" w14:textId="12E65C9C"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276" w:type="dxa"/>
                                </w:tcPr>
                                <w:p w14:paraId="573590FD"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TB activa</w:t>
                                  </w:r>
                                </w:p>
                              </w:tc>
                              <w:tc>
                                <w:tcPr>
                                  <w:tcW w:w="1134" w:type="dxa"/>
                                </w:tcPr>
                                <w:p w14:paraId="3D081E9D"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Hepatotoxicidad</w:t>
                                  </w:r>
                                </w:p>
                              </w:tc>
                              <w:tc>
                                <w:tcPr>
                                  <w:tcW w:w="1276" w:type="dxa"/>
                                </w:tcPr>
                                <w:p w14:paraId="7B8B4BAB"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Culminación de tratamiento</w:t>
                                  </w:r>
                                </w:p>
                              </w:tc>
                            </w:tr>
                            <w:tr w:rsidR="00AE0183" w:rsidRPr="000111F5" w14:paraId="561CBF92"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7C3D0BE6" w14:textId="77777777" w:rsidR="00AE0183" w:rsidRPr="000111F5" w:rsidRDefault="00AE0183" w:rsidP="00D5557E">
                                  <w:pPr>
                                    <w:rPr>
                                      <w:rFonts w:ascii="Arial Narrow" w:hAnsi="Arial Narrow" w:cs="Arial"/>
                                      <w:sz w:val="24"/>
                                      <w:szCs w:val="24"/>
                                    </w:rPr>
                                  </w:pPr>
                                  <w:r w:rsidRPr="001118B9">
                                    <w:rPr>
                                      <w:rFonts w:ascii="Arial Narrow" w:hAnsi="Arial Narrow" w:cs="Arial"/>
                                      <w:sz w:val="18"/>
                                      <w:szCs w:val="18"/>
                                    </w:rPr>
                                    <w:t>Martinson 2011</w:t>
                                  </w:r>
                                </w:p>
                              </w:tc>
                              <w:tc>
                                <w:tcPr>
                                  <w:tcW w:w="850" w:type="dxa"/>
                                </w:tcPr>
                                <w:p w14:paraId="4CFE6AB1" w14:textId="77777777"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574FF71E" w14:textId="73C066F3"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Sudáfrica</w:t>
                                  </w:r>
                                </w:p>
                              </w:tc>
                              <w:tc>
                                <w:tcPr>
                                  <w:tcW w:w="1134" w:type="dxa"/>
                                </w:tcPr>
                                <w:p w14:paraId="67618086" w14:textId="77777777"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VIH</w:t>
                                  </w:r>
                                </w:p>
                              </w:tc>
                              <w:tc>
                                <w:tcPr>
                                  <w:tcW w:w="993" w:type="dxa"/>
                                </w:tcPr>
                                <w:p w14:paraId="228C7F14"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30</w:t>
                                  </w:r>
                                </w:p>
                              </w:tc>
                              <w:tc>
                                <w:tcPr>
                                  <w:tcW w:w="850" w:type="dxa"/>
                                </w:tcPr>
                                <w:p w14:paraId="02F3F969"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TST</w:t>
                                  </w:r>
                                  <w:r w:rsidRPr="000111F5">
                                    <w:rPr>
                                      <w:rFonts w:ascii="Arial Narrow" w:hAnsi="Arial Narrow"/>
                                    </w:rPr>
                                    <w:t>‡</w:t>
                                  </w:r>
                                </w:p>
                              </w:tc>
                              <w:tc>
                                <w:tcPr>
                                  <w:tcW w:w="709" w:type="dxa"/>
                                </w:tcPr>
                                <w:p w14:paraId="563D7B49" w14:textId="769A388C"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46</w:t>
                                  </w:r>
                                </w:p>
                              </w:tc>
                              <w:tc>
                                <w:tcPr>
                                  <w:tcW w:w="1134" w:type="dxa"/>
                                </w:tcPr>
                                <w:p w14:paraId="64B3EE22" w14:textId="708916D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1HP*/9H</w:t>
                                  </w:r>
                                  <w:r w:rsidRPr="000111F5">
                                    <w:rPr>
                                      <w:rFonts w:ascii="Arial Narrow" w:hAnsi="Arial Narrow"/>
                                    </w:rPr>
                                    <w:t xml:space="preserve"> †</w:t>
                                  </w:r>
                                </w:p>
                              </w:tc>
                              <w:tc>
                                <w:tcPr>
                                  <w:tcW w:w="567" w:type="dxa"/>
                                </w:tcPr>
                                <w:p w14:paraId="1E934699" w14:textId="3D905B88"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0</w:t>
                                  </w:r>
                                </w:p>
                              </w:tc>
                              <w:tc>
                                <w:tcPr>
                                  <w:tcW w:w="850" w:type="dxa"/>
                                </w:tcPr>
                                <w:p w14:paraId="65C38902" w14:textId="6270DB20"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72</w:t>
                                  </w:r>
                                </w:p>
                              </w:tc>
                              <w:tc>
                                <w:tcPr>
                                  <w:tcW w:w="1276" w:type="dxa"/>
                                </w:tcPr>
                                <w:p w14:paraId="196C0FD5"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1.16 (0.63-2.14)</w:t>
                                  </w:r>
                                </w:p>
                              </w:tc>
                              <w:tc>
                                <w:tcPr>
                                  <w:tcW w:w="1134" w:type="dxa"/>
                                </w:tcPr>
                                <w:p w14:paraId="61A82CC1"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0.28 (0.10-0.74)</w:t>
                                  </w:r>
                                </w:p>
                              </w:tc>
                              <w:tc>
                                <w:tcPr>
                                  <w:tcW w:w="1276" w:type="dxa"/>
                                </w:tcPr>
                                <w:p w14:paraId="0BC9C1CE"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1.00 (0.98-1.02)</w:t>
                                  </w:r>
                                </w:p>
                              </w:tc>
                            </w:tr>
                            <w:tr w:rsidR="00AE0183" w:rsidRPr="000111F5" w14:paraId="52FF992D"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7EE25AC" w14:textId="77777777" w:rsidR="00AE0183" w:rsidRPr="000111F5" w:rsidRDefault="00AE0183" w:rsidP="00D5557E">
                                  <w:pPr>
                                    <w:rPr>
                                      <w:rFonts w:ascii="Arial Narrow" w:hAnsi="Arial Narrow" w:cs="Arial"/>
                                      <w:sz w:val="24"/>
                                      <w:szCs w:val="24"/>
                                    </w:rPr>
                                  </w:pPr>
                                  <w:r w:rsidRPr="000111F5">
                                    <w:rPr>
                                      <w:rFonts w:ascii="Arial Narrow" w:hAnsi="Arial Narrow" w:cs="Arial"/>
                                      <w:sz w:val="20"/>
                                      <w:szCs w:val="20"/>
                                    </w:rPr>
                                    <w:t>Sterling 2016</w:t>
                                  </w:r>
                                </w:p>
                              </w:tc>
                              <w:tc>
                                <w:tcPr>
                                  <w:tcW w:w="850" w:type="dxa"/>
                                </w:tcPr>
                                <w:p w14:paraId="4DDEDF2E"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62804F5" w14:textId="65FD9F8D"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78532429" w14:textId="77777777"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EE.UU, Brasil, España, Perú, Canadá, y Hong Kong</w:t>
                                  </w:r>
                                </w:p>
                              </w:tc>
                              <w:tc>
                                <w:tcPr>
                                  <w:tcW w:w="1134" w:type="dxa"/>
                                </w:tcPr>
                                <w:p w14:paraId="289F2E29"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DBA98B5"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VIH</w:t>
                                  </w:r>
                                </w:p>
                              </w:tc>
                              <w:tc>
                                <w:tcPr>
                                  <w:tcW w:w="993" w:type="dxa"/>
                                </w:tcPr>
                                <w:p w14:paraId="23DB4B6D"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A815255" w14:textId="129CC918"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35</w:t>
                                  </w:r>
                                </w:p>
                              </w:tc>
                              <w:tc>
                                <w:tcPr>
                                  <w:tcW w:w="850" w:type="dxa"/>
                                </w:tcPr>
                                <w:p w14:paraId="4B195D8D"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E408D60" w14:textId="2EE966CC"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TST</w:t>
                                  </w:r>
                                </w:p>
                              </w:tc>
                              <w:tc>
                                <w:tcPr>
                                  <w:tcW w:w="709" w:type="dxa"/>
                                </w:tcPr>
                                <w:p w14:paraId="14EBEF1C"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C30F4AD" w14:textId="2726C1F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70</w:t>
                                  </w:r>
                                </w:p>
                              </w:tc>
                              <w:tc>
                                <w:tcPr>
                                  <w:tcW w:w="1134" w:type="dxa"/>
                                </w:tcPr>
                                <w:p w14:paraId="5FF2CA3C"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D7C7784" w14:textId="3A40B880"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3HP/9H</w:t>
                                  </w:r>
                                </w:p>
                              </w:tc>
                              <w:tc>
                                <w:tcPr>
                                  <w:tcW w:w="567" w:type="dxa"/>
                                </w:tcPr>
                                <w:p w14:paraId="30535C8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B7DB2D9" w14:textId="741180BD"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w:t>
                                  </w:r>
                                </w:p>
                              </w:tc>
                              <w:tc>
                                <w:tcPr>
                                  <w:tcW w:w="850" w:type="dxa"/>
                                </w:tcPr>
                                <w:p w14:paraId="7BEBE66F" w14:textId="13082B9C"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B01BC0C" w14:textId="0045416F"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33</w:t>
                                  </w:r>
                                </w:p>
                              </w:tc>
                              <w:tc>
                                <w:tcPr>
                                  <w:tcW w:w="1276" w:type="dxa"/>
                                </w:tcPr>
                                <w:p w14:paraId="68E85755"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C9801F0" w14:textId="23F4297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0.31 (0.06-1.53)</w:t>
                                  </w:r>
                                </w:p>
                              </w:tc>
                              <w:tc>
                                <w:tcPr>
                                  <w:tcW w:w="1134" w:type="dxa"/>
                                </w:tcPr>
                                <w:p w14:paraId="10310814"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E8F050B" w14:textId="346B3730"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0.23 (0.05-1.09)</w:t>
                                  </w:r>
                                </w:p>
                              </w:tc>
                              <w:tc>
                                <w:tcPr>
                                  <w:tcW w:w="1276" w:type="dxa"/>
                                </w:tcPr>
                                <w:p w14:paraId="2687D2FF"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FC13AF5" w14:textId="440FA05C"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1.39 (1.24-1.57)</w:t>
                                  </w:r>
                                </w:p>
                              </w:tc>
                            </w:tr>
                            <w:tr w:rsidR="00AE0183" w:rsidRPr="000111F5" w14:paraId="06E6C673"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32A43AD3" w14:textId="77777777" w:rsidR="00AE0183" w:rsidRPr="000111F5" w:rsidRDefault="00AE0183" w:rsidP="00D5557E">
                                  <w:pPr>
                                    <w:rPr>
                                      <w:rFonts w:ascii="Arial Narrow" w:hAnsi="Arial Narrow" w:cs="Arial"/>
                                      <w:sz w:val="24"/>
                                      <w:szCs w:val="24"/>
                                    </w:rPr>
                                  </w:pPr>
                                  <w:r w:rsidRPr="000111F5">
                                    <w:rPr>
                                      <w:rFonts w:ascii="Arial Narrow" w:hAnsi="Arial Narrow" w:cs="Arial"/>
                                      <w:sz w:val="20"/>
                                      <w:szCs w:val="20"/>
                                    </w:rPr>
                                    <w:t>Chen 2018</w:t>
                                  </w:r>
                                </w:p>
                              </w:tc>
                              <w:tc>
                                <w:tcPr>
                                  <w:tcW w:w="850" w:type="dxa"/>
                                </w:tcPr>
                                <w:p w14:paraId="5E0AF8F4"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61718492" w14:textId="01F98FB6"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4E8C933E"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AF7BFA9" w14:textId="552D8678"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6D80A270" w14:textId="77777777"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Terapia biológica por artritis reumatoide</w:t>
                                  </w:r>
                                </w:p>
                              </w:tc>
                              <w:tc>
                                <w:tcPr>
                                  <w:tcW w:w="993" w:type="dxa"/>
                                </w:tcPr>
                                <w:p w14:paraId="45553085"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AE4A00A" w14:textId="43B657DA"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61</w:t>
                                  </w:r>
                                </w:p>
                              </w:tc>
                              <w:tc>
                                <w:tcPr>
                                  <w:tcW w:w="850" w:type="dxa"/>
                                </w:tcPr>
                                <w:p w14:paraId="768B58E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FDC9B7E" w14:textId="70332E7D"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r w:rsidRPr="000111F5">
                                    <w:rPr>
                                      <w:rFonts w:ascii="Arial Narrow" w:hAnsi="Arial Narrow"/>
                                    </w:rPr>
                                    <w:t>‡‡</w:t>
                                  </w:r>
                                </w:p>
                              </w:tc>
                              <w:tc>
                                <w:tcPr>
                                  <w:tcW w:w="709" w:type="dxa"/>
                                </w:tcPr>
                                <w:p w14:paraId="5EC64A1D"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4D70E562" w14:textId="030FAD6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w:t>
                                  </w:r>
                                </w:p>
                              </w:tc>
                              <w:tc>
                                <w:tcPr>
                                  <w:tcW w:w="1134" w:type="dxa"/>
                                </w:tcPr>
                                <w:p w14:paraId="0A930A2C"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D45EDFE" w14:textId="5ADDD075"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5D8C89CC"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7099C27" w14:textId="738F4D1E"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233F5533" w14:textId="60430AFE"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EC7EC1C" w14:textId="45FA0284"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24</w:t>
                                  </w:r>
                                </w:p>
                              </w:tc>
                              <w:tc>
                                <w:tcPr>
                                  <w:tcW w:w="1276" w:type="dxa"/>
                                </w:tcPr>
                                <w:p w14:paraId="549917E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16B9C8EA" w14:textId="4FB457CC"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0492E3F6"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05D6B35" w14:textId="10360CBA"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3CECE17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p w14:paraId="4AE6C4EB" w14:textId="1240042D"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1.16 (0.89-1.49)</w:t>
                                  </w:r>
                                </w:p>
                                <w:p w14:paraId="121D3E2C"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AE0183" w:rsidRPr="000111F5" w14:paraId="79DA5A19"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57E08C"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Swindells 2019</w:t>
                                  </w:r>
                                </w:p>
                              </w:tc>
                              <w:tc>
                                <w:tcPr>
                                  <w:tcW w:w="850" w:type="dxa"/>
                                </w:tcPr>
                                <w:p w14:paraId="6F8C6B1B"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C4E5298" w14:textId="7A24C452"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13C3751A" w14:textId="77777777"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10 países de África, Asia, América y el Caribe</w:t>
                                  </w:r>
                                </w:p>
                              </w:tc>
                              <w:tc>
                                <w:tcPr>
                                  <w:tcW w:w="1134" w:type="dxa"/>
                                </w:tcPr>
                                <w:p w14:paraId="4C701EDE"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45CFBE0"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VIH</w:t>
                                  </w:r>
                                </w:p>
                              </w:tc>
                              <w:tc>
                                <w:tcPr>
                                  <w:tcW w:w="993" w:type="dxa"/>
                                </w:tcPr>
                                <w:p w14:paraId="2CFAC8E3"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E376FF3" w14:textId="6692E8D3"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36</w:t>
                                  </w:r>
                                </w:p>
                              </w:tc>
                              <w:tc>
                                <w:tcPr>
                                  <w:tcW w:w="850" w:type="dxa"/>
                                </w:tcPr>
                                <w:p w14:paraId="19A3098F"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FCECA98" w14:textId="2BF964F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TST</w:t>
                                  </w:r>
                                </w:p>
                              </w:tc>
                              <w:tc>
                                <w:tcPr>
                                  <w:tcW w:w="709" w:type="dxa"/>
                                </w:tcPr>
                                <w:p w14:paraId="5C87D4F3"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D264758" w14:textId="26A9D61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15</w:t>
                                  </w:r>
                                </w:p>
                              </w:tc>
                              <w:tc>
                                <w:tcPr>
                                  <w:tcW w:w="1134" w:type="dxa"/>
                                </w:tcPr>
                                <w:p w14:paraId="419C60E5"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B3EF2E0" w14:textId="1EB284C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3HP/6H</w:t>
                                  </w:r>
                                </w:p>
                              </w:tc>
                              <w:tc>
                                <w:tcPr>
                                  <w:tcW w:w="567" w:type="dxa"/>
                                </w:tcPr>
                                <w:p w14:paraId="4306BA49"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2447D3F" w14:textId="6532FA55"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50</w:t>
                                  </w:r>
                                </w:p>
                              </w:tc>
                              <w:tc>
                                <w:tcPr>
                                  <w:tcW w:w="850" w:type="dxa"/>
                                </w:tcPr>
                                <w:p w14:paraId="0F4045DA" w14:textId="16B82A89"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8F8440F" w14:textId="273DF72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60</w:t>
                                  </w:r>
                                </w:p>
                              </w:tc>
                              <w:tc>
                                <w:tcPr>
                                  <w:tcW w:w="1276" w:type="dxa"/>
                                </w:tcPr>
                                <w:p w14:paraId="209AAD07"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757AE44" w14:textId="2FC4812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0.95 (0.41-2.20)</w:t>
                                  </w:r>
                                </w:p>
                              </w:tc>
                              <w:tc>
                                <w:tcPr>
                                  <w:tcW w:w="1134" w:type="dxa"/>
                                </w:tcPr>
                                <w:p w14:paraId="577AC934"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9C55718" w14:textId="68EC977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50348C70"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2AB1F3F" w14:textId="1C85B319"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0111F5">
                                    <w:rPr>
                                      <w:rFonts w:ascii="Arial Narrow" w:hAnsi="Arial Narrow" w:cs="Arial"/>
                                      <w:sz w:val="20"/>
                                      <w:szCs w:val="20"/>
                                    </w:rPr>
                                    <w:t>No medid</w:t>
                                  </w:r>
                                  <w:r>
                                    <w:rPr>
                                      <w:rFonts w:ascii="Arial Narrow" w:hAnsi="Arial Narrow" w:cs="Arial"/>
                                      <w:sz w:val="20"/>
                                      <w:szCs w:val="20"/>
                                    </w:rPr>
                                    <w:t>o</w:t>
                                  </w:r>
                                </w:p>
                              </w:tc>
                            </w:tr>
                            <w:tr w:rsidR="00AE0183" w:rsidRPr="000111F5" w14:paraId="4CB781AE"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48BF635A"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Huang 2020</w:t>
                                  </w:r>
                                </w:p>
                              </w:tc>
                              <w:tc>
                                <w:tcPr>
                                  <w:tcW w:w="850" w:type="dxa"/>
                                </w:tcPr>
                                <w:p w14:paraId="0D5CA2CE"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1533E3F" w14:textId="78F5EB9B"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3DC5F99B"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187ECD3" w14:textId="2320D632"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769530E4" w14:textId="77777777"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Diabetes mellitus mal controlada</w:t>
                                  </w:r>
                                </w:p>
                              </w:tc>
                              <w:tc>
                                <w:tcPr>
                                  <w:tcW w:w="993" w:type="dxa"/>
                                </w:tcPr>
                                <w:p w14:paraId="16C7CD9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4819DA7" w14:textId="0AFC9409"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63</w:t>
                                  </w:r>
                                </w:p>
                              </w:tc>
                              <w:tc>
                                <w:tcPr>
                                  <w:tcW w:w="850" w:type="dxa"/>
                                </w:tcPr>
                                <w:p w14:paraId="1FC8166F"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B89EF34" w14:textId="0A27467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p>
                              </w:tc>
                              <w:tc>
                                <w:tcPr>
                                  <w:tcW w:w="709" w:type="dxa"/>
                                </w:tcPr>
                                <w:p w14:paraId="554992E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CC97964" w14:textId="4FCFE81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56</w:t>
                                  </w:r>
                                </w:p>
                              </w:tc>
                              <w:tc>
                                <w:tcPr>
                                  <w:tcW w:w="1134" w:type="dxa"/>
                                </w:tcPr>
                                <w:p w14:paraId="676F3E2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45AA6812" w14:textId="5A115ED0"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041DE9B6"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B136658" w14:textId="0A9B9455"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34C51469" w14:textId="0885AB90"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5674DA3" w14:textId="31AF7FC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24</w:t>
                                  </w:r>
                                </w:p>
                              </w:tc>
                              <w:tc>
                                <w:tcPr>
                                  <w:tcW w:w="1276" w:type="dxa"/>
                                </w:tcPr>
                                <w:p w14:paraId="0DFF810A" w14:textId="77777777" w:rsidR="00AE0183" w:rsidRDefault="00AE0183" w:rsidP="00D5557E">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71A2A8C" w14:textId="07ACDF4F"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6BB89BEB"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1DF2FE0" w14:textId="1E061DF9"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221B61D0"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p w14:paraId="0A3C7740" w14:textId="244264A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1.06 (0.92-1.23)</w:t>
                                  </w:r>
                                </w:p>
                              </w:tc>
                            </w:tr>
                            <w:tr w:rsidR="00AE0183" w:rsidRPr="000111F5" w14:paraId="2EF1C411"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6F6C93A"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 xml:space="preserve">Lin </w:t>
                                  </w:r>
                                </w:p>
                                <w:p w14:paraId="349287D1"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2021</w:t>
                                  </w:r>
                                </w:p>
                              </w:tc>
                              <w:tc>
                                <w:tcPr>
                                  <w:tcW w:w="850" w:type="dxa"/>
                                </w:tcPr>
                                <w:p w14:paraId="32B9F60B"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4713D48" w14:textId="35DE784D"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421ACC19"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748E3A0" w14:textId="6F05870C"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02513D55" w14:textId="373A5DCE"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Enfermedad renal crónica en diálisis</w:t>
                                  </w:r>
                                </w:p>
                              </w:tc>
                              <w:tc>
                                <w:tcPr>
                                  <w:tcW w:w="993" w:type="dxa"/>
                                </w:tcPr>
                                <w:p w14:paraId="5A489C66"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1AA8EF2" w14:textId="0F841C9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57</w:t>
                                  </w:r>
                                </w:p>
                              </w:tc>
                              <w:tc>
                                <w:tcPr>
                                  <w:tcW w:w="850" w:type="dxa"/>
                                </w:tcPr>
                                <w:p w14:paraId="04FDC93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73A7BB6" w14:textId="2EA4D7F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p>
                              </w:tc>
                              <w:tc>
                                <w:tcPr>
                                  <w:tcW w:w="709" w:type="dxa"/>
                                </w:tcPr>
                                <w:p w14:paraId="460DE430"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76D2BCA" w14:textId="46801805"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69</w:t>
                                  </w:r>
                                </w:p>
                              </w:tc>
                              <w:tc>
                                <w:tcPr>
                                  <w:tcW w:w="1134" w:type="dxa"/>
                                </w:tcPr>
                                <w:p w14:paraId="52D9169B"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9A8BC84" w14:textId="171D1C73"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55D39F32"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802E821" w14:textId="328F28CB"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10DB4AB1" w14:textId="0249E5D6"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9551082" w14:textId="6D45264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66</w:t>
                                  </w:r>
                                </w:p>
                              </w:tc>
                              <w:tc>
                                <w:tcPr>
                                  <w:tcW w:w="1276" w:type="dxa"/>
                                </w:tcPr>
                                <w:p w14:paraId="23396CC2" w14:textId="77777777" w:rsidR="00AE0183"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F66F27E" w14:textId="47CD1F5F"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5236483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B718624" w14:textId="6D0E21DF"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72135BBE"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p w14:paraId="5D340006" w14:textId="077D6EE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1.34 (1.02-1.77)</w:t>
                                  </w:r>
                                </w:p>
                              </w:tc>
                            </w:tr>
                          </w:tbl>
                          <w:p w14:paraId="66CB2292" w14:textId="77777777" w:rsidR="00AE0183" w:rsidRPr="00720DAE" w:rsidRDefault="00AE0183" w:rsidP="00D5557E">
                            <w:pPr>
                              <w:spacing w:after="0" w:line="240" w:lineRule="auto"/>
                              <w:rPr>
                                <w:rFonts w:ascii="Arial Narrow" w:hAnsi="Arial Narrow" w:cs="Arial"/>
                                <w:i/>
                                <w:iCs/>
                                <w:sz w:val="20"/>
                                <w:szCs w:val="20"/>
                              </w:rPr>
                            </w:pPr>
                            <w:r w:rsidRPr="00720DAE">
                              <w:rPr>
                                <w:rFonts w:ascii="Arial Narrow" w:hAnsi="Arial Narrow" w:cs="Arial"/>
                                <w:i/>
                                <w:iCs/>
                                <w:sz w:val="20"/>
                                <w:szCs w:val="20"/>
                              </w:rPr>
                              <w:t xml:space="preserve">Notas: </w:t>
                            </w:r>
                          </w:p>
                          <w:p w14:paraId="19FA3A45"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cs="Arial"/>
                                <w:sz w:val="20"/>
                                <w:szCs w:val="20"/>
                              </w:rPr>
                              <w:t>*HP: rifapentina/isoniazida</w:t>
                            </w:r>
                          </w:p>
                          <w:p w14:paraId="2F9A2CE1"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rPr>
                              <w:t>†</w:t>
                            </w:r>
                            <w:r w:rsidRPr="001118B9">
                              <w:rPr>
                                <w:rFonts w:ascii="Arial Narrow" w:hAnsi="Arial Narrow" w:cs="Arial"/>
                                <w:sz w:val="20"/>
                                <w:szCs w:val="20"/>
                              </w:rPr>
                              <w:t>H: isoniazida sola</w:t>
                            </w:r>
                          </w:p>
                          <w:p w14:paraId="48B875FA" w14:textId="77777777" w:rsidR="00AE0183" w:rsidRPr="001118B9" w:rsidRDefault="00AE0183" w:rsidP="00D5557E">
                            <w:pPr>
                              <w:spacing w:after="0" w:line="240" w:lineRule="auto"/>
                              <w:rPr>
                                <w:rFonts w:ascii="Arial Narrow" w:hAnsi="Arial Narrow" w:cs="Arial"/>
                                <w:sz w:val="18"/>
                                <w:szCs w:val="18"/>
                              </w:rPr>
                            </w:pPr>
                            <w:r w:rsidRPr="001118B9">
                              <w:rPr>
                                <w:rFonts w:ascii="Arial Narrow" w:hAnsi="Arial Narrow"/>
                              </w:rPr>
                              <w:t>‡</w:t>
                            </w:r>
                            <w:r w:rsidRPr="001118B9">
                              <w:rPr>
                                <w:rFonts w:ascii="Arial Narrow" w:hAnsi="Arial Narrow" w:cs="Arial"/>
                                <w:sz w:val="20"/>
                                <w:szCs w:val="20"/>
                              </w:rPr>
                              <w:t xml:space="preserve">TST: prueba cutánea de tuberculina </w:t>
                            </w:r>
                          </w:p>
                          <w:p w14:paraId="6792C12C"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rPr>
                              <w:t>‡‡</w:t>
                            </w:r>
                            <w:r w:rsidRPr="001118B9">
                              <w:rPr>
                                <w:rFonts w:ascii="Arial Narrow" w:hAnsi="Arial Narrow" w:cs="Arial"/>
                                <w:sz w:val="20"/>
                                <w:szCs w:val="20"/>
                              </w:rPr>
                              <w:t>IGRA: prueba de liberación de interferón gamma</w:t>
                            </w:r>
                          </w:p>
                          <w:p w14:paraId="125C9083" w14:textId="0EBF4A70" w:rsidR="00AE0183" w:rsidRDefault="00AE0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9C348" id="_x0000_t202" coordsize="21600,21600" o:spt="202" path="m,l,21600r21600,l21600,xe">
                <v:stroke joinstyle="miter"/>
                <v:path gradientshapeok="t" o:connecttype="rect"/>
              </v:shapetype>
              <v:shape id="Cuadro de texto 2" o:spid="_x0000_s1026" type="#_x0000_t202" style="position:absolute;left:0;text-align:left;margin-left:595.85pt;margin-top:30.8pt;width:647.05pt;height:421.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" stroked="f">
                <v:textbox>
                  <w:txbxContent>
                    <w:tbl>
                      <w:tblPr>
                        <w:tblStyle w:val="Tablanormal2"/>
                        <w:tblW w:w="12753" w:type="dxa"/>
                        <w:tblLayout w:type="fixed"/>
                        <w:tblLook w:val="04A0" w:firstRow="1" w:lastRow="0" w:firstColumn="1" w:lastColumn="0" w:noHBand="0" w:noVBand="1"/>
                      </w:tblPr>
                      <w:tblGrid>
                        <w:gridCol w:w="988"/>
                        <w:gridCol w:w="850"/>
                        <w:gridCol w:w="992"/>
                        <w:gridCol w:w="1134"/>
                        <w:gridCol w:w="993"/>
                        <w:gridCol w:w="850"/>
                        <w:gridCol w:w="709"/>
                        <w:gridCol w:w="1134"/>
                        <w:gridCol w:w="567"/>
                        <w:gridCol w:w="850"/>
                        <w:gridCol w:w="1276"/>
                        <w:gridCol w:w="1134"/>
                        <w:gridCol w:w="1276"/>
                      </w:tblGrid>
                      <w:tr w:rsidR="00AE0183" w:rsidRPr="000111F5" w14:paraId="018D5B88" w14:textId="77777777" w:rsidTr="001118B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B976402" w14:textId="77777777" w:rsidR="00AE0183" w:rsidRPr="000111F5" w:rsidRDefault="00AE0183" w:rsidP="00D5557E">
                            <w:pPr>
                              <w:rPr>
                                <w:rFonts w:ascii="Arial Narrow" w:hAnsi="Arial Narrow" w:cs="Arial"/>
                                <w:sz w:val="24"/>
                                <w:szCs w:val="24"/>
                              </w:rPr>
                            </w:pPr>
                            <w:r w:rsidRPr="000111F5">
                              <w:rPr>
                                <w:rFonts w:ascii="Arial Narrow" w:hAnsi="Arial Narrow" w:cs="Arial"/>
                                <w:sz w:val="18"/>
                                <w:szCs w:val="18"/>
                              </w:rPr>
                              <w:t>Autor/ año</w:t>
                            </w:r>
                          </w:p>
                        </w:tc>
                        <w:tc>
                          <w:tcPr>
                            <w:tcW w:w="850" w:type="dxa"/>
                            <w:vMerge w:val="restart"/>
                          </w:tcPr>
                          <w:p w14:paraId="59E478D7"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 xml:space="preserve">Tipo de diseño </w:t>
                            </w:r>
                          </w:p>
                        </w:tc>
                        <w:tc>
                          <w:tcPr>
                            <w:tcW w:w="992" w:type="dxa"/>
                            <w:vMerge w:val="restart"/>
                          </w:tcPr>
                          <w:p w14:paraId="2CFCC153"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Lugar de estudio</w:t>
                            </w:r>
                          </w:p>
                        </w:tc>
                        <w:tc>
                          <w:tcPr>
                            <w:tcW w:w="1134" w:type="dxa"/>
                            <w:vMerge w:val="restart"/>
                          </w:tcPr>
                          <w:p w14:paraId="7791523C"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Causa de inmuno</w:t>
                            </w:r>
                            <w:r>
                              <w:rPr>
                                <w:rFonts w:ascii="Arial Narrow" w:hAnsi="Arial Narrow" w:cs="Arial"/>
                                <w:sz w:val="18"/>
                                <w:szCs w:val="18"/>
                              </w:rPr>
                              <w:t>-</w:t>
                            </w:r>
                            <w:r w:rsidRPr="000111F5">
                              <w:rPr>
                                <w:rFonts w:ascii="Arial Narrow" w:hAnsi="Arial Narrow" w:cs="Arial"/>
                                <w:sz w:val="18"/>
                                <w:szCs w:val="18"/>
                              </w:rPr>
                              <w:t>depresión</w:t>
                            </w:r>
                          </w:p>
                        </w:tc>
                        <w:tc>
                          <w:tcPr>
                            <w:tcW w:w="993" w:type="dxa"/>
                            <w:vMerge w:val="restart"/>
                          </w:tcPr>
                          <w:p w14:paraId="1D0CB3C5"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Edad en años</w:t>
                            </w:r>
                          </w:p>
                          <w:p w14:paraId="0B595CAB"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sidRPr="000111F5">
                              <w:rPr>
                                <w:rFonts w:ascii="Arial Narrow" w:hAnsi="Arial Narrow" w:cs="Arial"/>
                                <w:sz w:val="18"/>
                                <w:szCs w:val="18"/>
                              </w:rPr>
                              <w:t xml:space="preserve">mediana (ECA) </w:t>
                            </w:r>
                          </w:p>
                          <w:p w14:paraId="7E44C643"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media (cohorte)</w:t>
                            </w:r>
                          </w:p>
                        </w:tc>
                        <w:tc>
                          <w:tcPr>
                            <w:tcW w:w="850" w:type="dxa"/>
                            <w:vMerge w:val="restart"/>
                          </w:tcPr>
                          <w:p w14:paraId="2F76F6BF" w14:textId="777777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Tipo de prueba TB latente</w:t>
                            </w:r>
                          </w:p>
                        </w:tc>
                        <w:tc>
                          <w:tcPr>
                            <w:tcW w:w="709" w:type="dxa"/>
                            <w:vMerge w:val="restart"/>
                          </w:tcPr>
                          <w:p w14:paraId="4D91CCE9" w14:textId="3E8B3D0B" w:rsidR="00AE0183"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Pr>
                                <w:rFonts w:ascii="Arial Narrow" w:hAnsi="Arial Narrow" w:cs="Arial"/>
                                <w:sz w:val="18"/>
                                <w:szCs w:val="18"/>
                              </w:rPr>
                              <w:t>Sexo masculino %</w:t>
                            </w:r>
                          </w:p>
                          <w:p w14:paraId="7621EDCA" w14:textId="77777777" w:rsidR="00AE0183"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p>
                          <w:p w14:paraId="0D596EA0" w14:textId="3C6A1AC5"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p>
                        </w:tc>
                        <w:tc>
                          <w:tcPr>
                            <w:tcW w:w="1134" w:type="dxa"/>
                            <w:vMerge w:val="restart"/>
                          </w:tcPr>
                          <w:p w14:paraId="01E4C15A" w14:textId="7F201884"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Intervención/ comparador</w:t>
                            </w:r>
                          </w:p>
                        </w:tc>
                        <w:tc>
                          <w:tcPr>
                            <w:tcW w:w="567" w:type="dxa"/>
                            <w:vMerge w:val="restart"/>
                          </w:tcPr>
                          <w:p w14:paraId="474A9296" w14:textId="2A8E29EF"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18"/>
                                <w:szCs w:val="18"/>
                              </w:rPr>
                            </w:pPr>
                            <w:r>
                              <w:rPr>
                                <w:rFonts w:ascii="Arial Narrow" w:hAnsi="Arial Narrow" w:cs="Arial"/>
                                <w:sz w:val="18"/>
                                <w:szCs w:val="18"/>
                              </w:rPr>
                              <w:t>Uso de TAR %</w:t>
                            </w:r>
                          </w:p>
                        </w:tc>
                        <w:tc>
                          <w:tcPr>
                            <w:tcW w:w="850" w:type="dxa"/>
                            <w:vMerge w:val="restart"/>
                          </w:tcPr>
                          <w:p w14:paraId="3FDA4381" w14:textId="3C84A213"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Tiempo de seguimiento (meses)</w:t>
                            </w:r>
                          </w:p>
                        </w:tc>
                        <w:tc>
                          <w:tcPr>
                            <w:tcW w:w="3686" w:type="dxa"/>
                            <w:gridSpan w:val="3"/>
                          </w:tcPr>
                          <w:p w14:paraId="335C9358" w14:textId="2D5BC377" w:rsidR="00AE0183" w:rsidRPr="000111F5" w:rsidRDefault="00AE0183" w:rsidP="00D5557E">
                            <w:pP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18"/>
                                <w:szCs w:val="18"/>
                              </w:rPr>
                              <w:t xml:space="preserve">Desenlaces y medida de efecto: </w:t>
                            </w:r>
                            <w:r>
                              <w:rPr>
                                <w:rFonts w:ascii="Arial Narrow" w:hAnsi="Arial Narrow" w:cs="Arial"/>
                                <w:sz w:val="18"/>
                                <w:szCs w:val="18"/>
                              </w:rPr>
                              <w:t>r</w:t>
                            </w:r>
                            <w:r w:rsidRPr="000111F5">
                              <w:rPr>
                                <w:rFonts w:ascii="Arial Narrow" w:hAnsi="Arial Narrow" w:cs="Arial"/>
                                <w:sz w:val="18"/>
                                <w:szCs w:val="18"/>
                              </w:rPr>
                              <w:t>iesgo relativo (intervalo de confianza)</w:t>
                            </w:r>
                          </w:p>
                        </w:tc>
                      </w:tr>
                      <w:tr w:rsidR="00AE0183" w:rsidRPr="000111F5" w14:paraId="29E2C8C6" w14:textId="77777777" w:rsidTr="001118B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88" w:type="dxa"/>
                            <w:vMerge/>
                          </w:tcPr>
                          <w:p w14:paraId="26FD2B9A" w14:textId="77777777" w:rsidR="00AE0183" w:rsidRPr="000111F5" w:rsidRDefault="00AE0183" w:rsidP="00D5557E">
                            <w:pPr>
                              <w:rPr>
                                <w:rFonts w:ascii="Arial Narrow" w:hAnsi="Arial Narrow" w:cs="Arial"/>
                                <w:b w:val="0"/>
                                <w:bCs w:val="0"/>
                                <w:sz w:val="18"/>
                                <w:szCs w:val="18"/>
                              </w:rPr>
                            </w:pPr>
                          </w:p>
                        </w:tc>
                        <w:tc>
                          <w:tcPr>
                            <w:tcW w:w="850" w:type="dxa"/>
                            <w:vMerge/>
                          </w:tcPr>
                          <w:p w14:paraId="597E7974"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992" w:type="dxa"/>
                            <w:vMerge/>
                          </w:tcPr>
                          <w:p w14:paraId="6406398F"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134" w:type="dxa"/>
                            <w:vMerge/>
                          </w:tcPr>
                          <w:p w14:paraId="5DDB0002"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993" w:type="dxa"/>
                            <w:vMerge/>
                          </w:tcPr>
                          <w:p w14:paraId="359C3D7F"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850" w:type="dxa"/>
                            <w:vMerge/>
                          </w:tcPr>
                          <w:p w14:paraId="45EFF2C6"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709" w:type="dxa"/>
                            <w:vMerge/>
                          </w:tcPr>
                          <w:p w14:paraId="7E35C9BB"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134" w:type="dxa"/>
                            <w:vMerge/>
                          </w:tcPr>
                          <w:p w14:paraId="21417444" w14:textId="3AF5AE8A"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567" w:type="dxa"/>
                            <w:vMerge/>
                          </w:tcPr>
                          <w:p w14:paraId="2A7B9787" w14:textId="77777777"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850" w:type="dxa"/>
                            <w:vMerge/>
                          </w:tcPr>
                          <w:p w14:paraId="6716227A" w14:textId="12E65C9C" w:rsidR="00AE0183" w:rsidRPr="000111F5"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p>
                        </w:tc>
                        <w:tc>
                          <w:tcPr>
                            <w:tcW w:w="1276" w:type="dxa"/>
                          </w:tcPr>
                          <w:p w14:paraId="573590FD"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TB activa</w:t>
                            </w:r>
                          </w:p>
                        </w:tc>
                        <w:tc>
                          <w:tcPr>
                            <w:tcW w:w="1134" w:type="dxa"/>
                          </w:tcPr>
                          <w:p w14:paraId="3D081E9D"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Hepatotoxicidad</w:t>
                            </w:r>
                          </w:p>
                        </w:tc>
                        <w:tc>
                          <w:tcPr>
                            <w:tcW w:w="1276" w:type="dxa"/>
                          </w:tcPr>
                          <w:p w14:paraId="7B8B4BAB" w14:textId="7777777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18"/>
                                <w:szCs w:val="18"/>
                              </w:rPr>
                            </w:pPr>
                            <w:r w:rsidRPr="000111F5">
                              <w:rPr>
                                <w:rFonts w:ascii="Arial Narrow" w:hAnsi="Arial Narrow" w:cs="Arial"/>
                                <w:b/>
                                <w:bCs/>
                                <w:sz w:val="18"/>
                                <w:szCs w:val="18"/>
                              </w:rPr>
                              <w:t>Culminación de tratamiento</w:t>
                            </w:r>
                          </w:p>
                        </w:tc>
                      </w:tr>
                      <w:tr w:rsidR="00AE0183" w:rsidRPr="000111F5" w14:paraId="561CBF92"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7C3D0BE6" w14:textId="77777777" w:rsidR="00AE0183" w:rsidRPr="000111F5" w:rsidRDefault="00AE0183" w:rsidP="00D5557E">
                            <w:pPr>
                              <w:rPr>
                                <w:rFonts w:ascii="Arial Narrow" w:hAnsi="Arial Narrow" w:cs="Arial"/>
                                <w:sz w:val="24"/>
                                <w:szCs w:val="24"/>
                              </w:rPr>
                            </w:pPr>
                            <w:r w:rsidRPr="001118B9">
                              <w:rPr>
                                <w:rFonts w:ascii="Arial Narrow" w:hAnsi="Arial Narrow" w:cs="Arial"/>
                                <w:sz w:val="18"/>
                                <w:szCs w:val="18"/>
                              </w:rPr>
                              <w:t>Martinson 2011</w:t>
                            </w:r>
                          </w:p>
                        </w:tc>
                        <w:tc>
                          <w:tcPr>
                            <w:tcW w:w="850" w:type="dxa"/>
                          </w:tcPr>
                          <w:p w14:paraId="4CFE6AB1" w14:textId="77777777"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574FF71E" w14:textId="73C066F3"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Sudáfrica</w:t>
                            </w:r>
                          </w:p>
                        </w:tc>
                        <w:tc>
                          <w:tcPr>
                            <w:tcW w:w="1134" w:type="dxa"/>
                          </w:tcPr>
                          <w:p w14:paraId="67618086" w14:textId="77777777"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VIH</w:t>
                            </w:r>
                          </w:p>
                        </w:tc>
                        <w:tc>
                          <w:tcPr>
                            <w:tcW w:w="993" w:type="dxa"/>
                          </w:tcPr>
                          <w:p w14:paraId="228C7F14"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30</w:t>
                            </w:r>
                          </w:p>
                        </w:tc>
                        <w:tc>
                          <w:tcPr>
                            <w:tcW w:w="850" w:type="dxa"/>
                          </w:tcPr>
                          <w:p w14:paraId="02F3F969"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TST</w:t>
                            </w:r>
                            <w:r w:rsidRPr="000111F5">
                              <w:rPr>
                                <w:rFonts w:ascii="Arial Narrow" w:hAnsi="Arial Narrow"/>
                              </w:rPr>
                              <w:t>‡</w:t>
                            </w:r>
                          </w:p>
                        </w:tc>
                        <w:tc>
                          <w:tcPr>
                            <w:tcW w:w="709" w:type="dxa"/>
                          </w:tcPr>
                          <w:p w14:paraId="563D7B49" w14:textId="769A388C"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46</w:t>
                            </w:r>
                          </w:p>
                        </w:tc>
                        <w:tc>
                          <w:tcPr>
                            <w:tcW w:w="1134" w:type="dxa"/>
                          </w:tcPr>
                          <w:p w14:paraId="64B3EE22" w14:textId="708916D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1HP*/9H</w:t>
                            </w:r>
                            <w:r w:rsidRPr="000111F5">
                              <w:rPr>
                                <w:rFonts w:ascii="Arial Narrow" w:hAnsi="Arial Narrow"/>
                              </w:rPr>
                              <w:t xml:space="preserve"> †</w:t>
                            </w:r>
                          </w:p>
                        </w:tc>
                        <w:tc>
                          <w:tcPr>
                            <w:tcW w:w="567" w:type="dxa"/>
                          </w:tcPr>
                          <w:p w14:paraId="1E934699" w14:textId="3D905B88"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0</w:t>
                            </w:r>
                          </w:p>
                        </w:tc>
                        <w:tc>
                          <w:tcPr>
                            <w:tcW w:w="850" w:type="dxa"/>
                          </w:tcPr>
                          <w:p w14:paraId="65C38902" w14:textId="6270DB20"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72</w:t>
                            </w:r>
                          </w:p>
                        </w:tc>
                        <w:tc>
                          <w:tcPr>
                            <w:tcW w:w="1276" w:type="dxa"/>
                          </w:tcPr>
                          <w:p w14:paraId="196C0FD5"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1.16 (0.63-2.14)</w:t>
                            </w:r>
                          </w:p>
                        </w:tc>
                        <w:tc>
                          <w:tcPr>
                            <w:tcW w:w="1134" w:type="dxa"/>
                          </w:tcPr>
                          <w:p w14:paraId="61A82CC1"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0.28 (0.10-0.74)</w:t>
                            </w:r>
                          </w:p>
                        </w:tc>
                        <w:tc>
                          <w:tcPr>
                            <w:tcW w:w="1276" w:type="dxa"/>
                          </w:tcPr>
                          <w:p w14:paraId="0BC9C1CE"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1.00 (0.98-1.02)</w:t>
                            </w:r>
                          </w:p>
                        </w:tc>
                      </w:tr>
                      <w:tr w:rsidR="00AE0183" w:rsidRPr="000111F5" w14:paraId="52FF992D"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7EE25AC" w14:textId="77777777" w:rsidR="00AE0183" w:rsidRPr="000111F5" w:rsidRDefault="00AE0183" w:rsidP="00D5557E">
                            <w:pPr>
                              <w:rPr>
                                <w:rFonts w:ascii="Arial Narrow" w:hAnsi="Arial Narrow" w:cs="Arial"/>
                                <w:sz w:val="24"/>
                                <w:szCs w:val="24"/>
                              </w:rPr>
                            </w:pPr>
                            <w:r w:rsidRPr="000111F5">
                              <w:rPr>
                                <w:rFonts w:ascii="Arial Narrow" w:hAnsi="Arial Narrow" w:cs="Arial"/>
                                <w:sz w:val="20"/>
                                <w:szCs w:val="20"/>
                              </w:rPr>
                              <w:t>Sterling 2016</w:t>
                            </w:r>
                          </w:p>
                        </w:tc>
                        <w:tc>
                          <w:tcPr>
                            <w:tcW w:w="850" w:type="dxa"/>
                          </w:tcPr>
                          <w:p w14:paraId="4DDEDF2E"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62804F5" w14:textId="65FD9F8D"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78532429" w14:textId="77777777"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EE.UU, Brasil, España, Perú, Canadá, y Hong Kong</w:t>
                            </w:r>
                          </w:p>
                        </w:tc>
                        <w:tc>
                          <w:tcPr>
                            <w:tcW w:w="1134" w:type="dxa"/>
                          </w:tcPr>
                          <w:p w14:paraId="289F2E29"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DBA98B5"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VIH</w:t>
                            </w:r>
                          </w:p>
                        </w:tc>
                        <w:tc>
                          <w:tcPr>
                            <w:tcW w:w="993" w:type="dxa"/>
                          </w:tcPr>
                          <w:p w14:paraId="23DB4B6D"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A815255" w14:textId="129CC918"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35</w:t>
                            </w:r>
                          </w:p>
                        </w:tc>
                        <w:tc>
                          <w:tcPr>
                            <w:tcW w:w="850" w:type="dxa"/>
                          </w:tcPr>
                          <w:p w14:paraId="4B195D8D"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E408D60" w14:textId="2EE966CC"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TST</w:t>
                            </w:r>
                          </w:p>
                        </w:tc>
                        <w:tc>
                          <w:tcPr>
                            <w:tcW w:w="709" w:type="dxa"/>
                          </w:tcPr>
                          <w:p w14:paraId="14EBEF1C"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C30F4AD" w14:textId="2726C1F7"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70</w:t>
                            </w:r>
                          </w:p>
                        </w:tc>
                        <w:tc>
                          <w:tcPr>
                            <w:tcW w:w="1134" w:type="dxa"/>
                          </w:tcPr>
                          <w:p w14:paraId="5FF2CA3C"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D7C7784" w14:textId="3A40B880"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3HP/9H</w:t>
                            </w:r>
                          </w:p>
                        </w:tc>
                        <w:tc>
                          <w:tcPr>
                            <w:tcW w:w="567" w:type="dxa"/>
                          </w:tcPr>
                          <w:p w14:paraId="30535C8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B7DB2D9" w14:textId="741180BD"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w:t>
                            </w:r>
                          </w:p>
                        </w:tc>
                        <w:tc>
                          <w:tcPr>
                            <w:tcW w:w="850" w:type="dxa"/>
                          </w:tcPr>
                          <w:p w14:paraId="7BEBE66F" w14:textId="13082B9C"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B01BC0C" w14:textId="0045416F"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33</w:t>
                            </w:r>
                          </w:p>
                        </w:tc>
                        <w:tc>
                          <w:tcPr>
                            <w:tcW w:w="1276" w:type="dxa"/>
                          </w:tcPr>
                          <w:p w14:paraId="68E85755"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C9801F0" w14:textId="23F4297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0.31 (0.06-1.53)</w:t>
                            </w:r>
                          </w:p>
                        </w:tc>
                        <w:tc>
                          <w:tcPr>
                            <w:tcW w:w="1134" w:type="dxa"/>
                          </w:tcPr>
                          <w:p w14:paraId="10310814"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E8F050B" w14:textId="346B3730"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111F5">
                              <w:rPr>
                                <w:rFonts w:ascii="Arial Narrow" w:hAnsi="Arial Narrow" w:cs="Arial"/>
                                <w:sz w:val="20"/>
                                <w:szCs w:val="20"/>
                              </w:rPr>
                              <w:t>0.23 (0.05-1.09)</w:t>
                            </w:r>
                          </w:p>
                        </w:tc>
                        <w:tc>
                          <w:tcPr>
                            <w:tcW w:w="1276" w:type="dxa"/>
                          </w:tcPr>
                          <w:p w14:paraId="2687D2FF"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FC13AF5" w14:textId="440FA05C"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1.39 (1.24-1.57)</w:t>
                            </w:r>
                          </w:p>
                        </w:tc>
                      </w:tr>
                      <w:tr w:rsidR="00AE0183" w:rsidRPr="000111F5" w14:paraId="06E6C673"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32A43AD3" w14:textId="77777777" w:rsidR="00AE0183" w:rsidRPr="000111F5" w:rsidRDefault="00AE0183" w:rsidP="00D5557E">
                            <w:pPr>
                              <w:rPr>
                                <w:rFonts w:ascii="Arial Narrow" w:hAnsi="Arial Narrow" w:cs="Arial"/>
                                <w:sz w:val="24"/>
                                <w:szCs w:val="24"/>
                              </w:rPr>
                            </w:pPr>
                            <w:r w:rsidRPr="000111F5">
                              <w:rPr>
                                <w:rFonts w:ascii="Arial Narrow" w:hAnsi="Arial Narrow" w:cs="Arial"/>
                                <w:sz w:val="20"/>
                                <w:szCs w:val="20"/>
                              </w:rPr>
                              <w:t>Chen 2018</w:t>
                            </w:r>
                          </w:p>
                        </w:tc>
                        <w:tc>
                          <w:tcPr>
                            <w:tcW w:w="850" w:type="dxa"/>
                          </w:tcPr>
                          <w:p w14:paraId="5E0AF8F4"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61718492" w14:textId="01F98FB6" w:rsidR="00AE0183" w:rsidRPr="000111F5" w:rsidRDefault="00AE018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4E8C933E"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AF7BFA9" w14:textId="552D8678"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6D80A270" w14:textId="77777777"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Terapia biológica por artritis reumatoide</w:t>
                            </w:r>
                          </w:p>
                        </w:tc>
                        <w:tc>
                          <w:tcPr>
                            <w:tcW w:w="993" w:type="dxa"/>
                          </w:tcPr>
                          <w:p w14:paraId="45553085"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AE4A00A" w14:textId="43B657DA"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61</w:t>
                            </w:r>
                          </w:p>
                        </w:tc>
                        <w:tc>
                          <w:tcPr>
                            <w:tcW w:w="850" w:type="dxa"/>
                          </w:tcPr>
                          <w:p w14:paraId="768B58E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FDC9B7E" w14:textId="70332E7D"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r w:rsidRPr="000111F5">
                              <w:rPr>
                                <w:rFonts w:ascii="Arial Narrow" w:hAnsi="Arial Narrow"/>
                              </w:rPr>
                              <w:t>‡‡</w:t>
                            </w:r>
                          </w:p>
                        </w:tc>
                        <w:tc>
                          <w:tcPr>
                            <w:tcW w:w="709" w:type="dxa"/>
                          </w:tcPr>
                          <w:p w14:paraId="5EC64A1D"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4D70E562" w14:textId="030FAD6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w:t>
                            </w:r>
                          </w:p>
                        </w:tc>
                        <w:tc>
                          <w:tcPr>
                            <w:tcW w:w="1134" w:type="dxa"/>
                          </w:tcPr>
                          <w:p w14:paraId="0A930A2C"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D45EDFE" w14:textId="5ADDD075"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5D8C89CC"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7099C27" w14:textId="738F4D1E"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233F5533" w14:textId="60430AFE"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EC7EC1C" w14:textId="45FA0284"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24</w:t>
                            </w:r>
                          </w:p>
                        </w:tc>
                        <w:tc>
                          <w:tcPr>
                            <w:tcW w:w="1276" w:type="dxa"/>
                          </w:tcPr>
                          <w:p w14:paraId="549917E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16B9C8EA" w14:textId="4FB457CC"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0492E3F6"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05D6B35" w14:textId="10360CBA"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3CECE17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p w14:paraId="4AE6C4EB" w14:textId="1240042D"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1.16 (0.89-1.49)</w:t>
                            </w:r>
                          </w:p>
                          <w:p w14:paraId="121D3E2C" w14:textId="77777777"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AE0183" w:rsidRPr="000111F5" w14:paraId="79DA5A19"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57E08C"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Swindells 2019</w:t>
                            </w:r>
                          </w:p>
                        </w:tc>
                        <w:tc>
                          <w:tcPr>
                            <w:tcW w:w="850" w:type="dxa"/>
                          </w:tcPr>
                          <w:p w14:paraId="6F8C6B1B"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C4E5298" w14:textId="7A24C452"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ECA</w:t>
                            </w:r>
                          </w:p>
                        </w:tc>
                        <w:tc>
                          <w:tcPr>
                            <w:tcW w:w="992" w:type="dxa"/>
                          </w:tcPr>
                          <w:p w14:paraId="13C3751A" w14:textId="77777777"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10 países de África, Asia, América y el Caribe</w:t>
                            </w:r>
                          </w:p>
                        </w:tc>
                        <w:tc>
                          <w:tcPr>
                            <w:tcW w:w="1134" w:type="dxa"/>
                          </w:tcPr>
                          <w:p w14:paraId="4C701EDE"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45CFBE0" w14:textId="77777777" w:rsidR="00AE0183" w:rsidRPr="000111F5" w:rsidRDefault="00AE018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VIH</w:t>
                            </w:r>
                          </w:p>
                        </w:tc>
                        <w:tc>
                          <w:tcPr>
                            <w:tcW w:w="993" w:type="dxa"/>
                          </w:tcPr>
                          <w:p w14:paraId="2CFAC8E3"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E376FF3" w14:textId="6692E8D3"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36</w:t>
                            </w:r>
                          </w:p>
                        </w:tc>
                        <w:tc>
                          <w:tcPr>
                            <w:tcW w:w="850" w:type="dxa"/>
                          </w:tcPr>
                          <w:p w14:paraId="19A3098F"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FCECA98" w14:textId="2BF964F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TST</w:t>
                            </w:r>
                          </w:p>
                        </w:tc>
                        <w:tc>
                          <w:tcPr>
                            <w:tcW w:w="709" w:type="dxa"/>
                          </w:tcPr>
                          <w:p w14:paraId="5C87D4F3"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D264758" w14:textId="26A9D61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15</w:t>
                            </w:r>
                          </w:p>
                        </w:tc>
                        <w:tc>
                          <w:tcPr>
                            <w:tcW w:w="1134" w:type="dxa"/>
                          </w:tcPr>
                          <w:p w14:paraId="419C60E5"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B3EF2E0" w14:textId="1EB284C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3HP/6H</w:t>
                            </w:r>
                          </w:p>
                        </w:tc>
                        <w:tc>
                          <w:tcPr>
                            <w:tcW w:w="567" w:type="dxa"/>
                          </w:tcPr>
                          <w:p w14:paraId="4306BA49"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2447D3F" w14:textId="6532FA55"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50</w:t>
                            </w:r>
                          </w:p>
                        </w:tc>
                        <w:tc>
                          <w:tcPr>
                            <w:tcW w:w="850" w:type="dxa"/>
                          </w:tcPr>
                          <w:p w14:paraId="0F4045DA" w14:textId="16B82A89"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28F8440F" w14:textId="273DF72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60</w:t>
                            </w:r>
                          </w:p>
                        </w:tc>
                        <w:tc>
                          <w:tcPr>
                            <w:tcW w:w="1276" w:type="dxa"/>
                          </w:tcPr>
                          <w:p w14:paraId="209AAD07"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757AE44" w14:textId="2FC4812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0.95 (0.41-2.20)</w:t>
                            </w:r>
                          </w:p>
                        </w:tc>
                        <w:tc>
                          <w:tcPr>
                            <w:tcW w:w="1134" w:type="dxa"/>
                          </w:tcPr>
                          <w:p w14:paraId="577AC934"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59C55718" w14:textId="68EC977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50348C70"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2AB1F3F" w14:textId="1C85B319"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0111F5">
                              <w:rPr>
                                <w:rFonts w:ascii="Arial Narrow" w:hAnsi="Arial Narrow" w:cs="Arial"/>
                                <w:sz w:val="20"/>
                                <w:szCs w:val="20"/>
                              </w:rPr>
                              <w:t>No medid</w:t>
                            </w:r>
                            <w:r>
                              <w:rPr>
                                <w:rFonts w:ascii="Arial Narrow" w:hAnsi="Arial Narrow" w:cs="Arial"/>
                                <w:sz w:val="20"/>
                                <w:szCs w:val="20"/>
                              </w:rPr>
                              <w:t>o</w:t>
                            </w:r>
                          </w:p>
                        </w:tc>
                      </w:tr>
                      <w:tr w:rsidR="00AE0183" w:rsidRPr="000111F5" w14:paraId="4CB781AE" w14:textId="77777777" w:rsidTr="001118B9">
                        <w:tc>
                          <w:tcPr>
                            <w:cnfStyle w:val="001000000000" w:firstRow="0" w:lastRow="0" w:firstColumn="1" w:lastColumn="0" w:oddVBand="0" w:evenVBand="0" w:oddHBand="0" w:evenHBand="0" w:firstRowFirstColumn="0" w:firstRowLastColumn="0" w:lastRowFirstColumn="0" w:lastRowLastColumn="0"/>
                            <w:tcW w:w="988" w:type="dxa"/>
                          </w:tcPr>
                          <w:p w14:paraId="48BF635A"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Huang 2020</w:t>
                            </w:r>
                          </w:p>
                        </w:tc>
                        <w:tc>
                          <w:tcPr>
                            <w:tcW w:w="850" w:type="dxa"/>
                          </w:tcPr>
                          <w:p w14:paraId="0D5CA2CE"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71533E3F" w14:textId="78F5EB9B"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3DC5F99B" w14:textId="77777777" w:rsidR="00AE0183" w:rsidRDefault="00AE0183" w:rsidP="009D69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187ECD3" w14:textId="2320D632"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769530E4" w14:textId="77777777"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Diabetes mellitus mal controlada</w:t>
                            </w:r>
                          </w:p>
                        </w:tc>
                        <w:tc>
                          <w:tcPr>
                            <w:tcW w:w="993" w:type="dxa"/>
                          </w:tcPr>
                          <w:p w14:paraId="16C7CD9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4819DA7" w14:textId="0AFC9409"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63</w:t>
                            </w:r>
                          </w:p>
                        </w:tc>
                        <w:tc>
                          <w:tcPr>
                            <w:tcW w:w="850" w:type="dxa"/>
                          </w:tcPr>
                          <w:p w14:paraId="1FC8166F"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B89EF34" w14:textId="0A27467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p>
                        </w:tc>
                        <w:tc>
                          <w:tcPr>
                            <w:tcW w:w="709" w:type="dxa"/>
                          </w:tcPr>
                          <w:p w14:paraId="554992EA"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CC97964" w14:textId="4FCFE81E"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56</w:t>
                            </w:r>
                          </w:p>
                        </w:tc>
                        <w:tc>
                          <w:tcPr>
                            <w:tcW w:w="1134" w:type="dxa"/>
                          </w:tcPr>
                          <w:p w14:paraId="676F3E22"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45AA6812" w14:textId="5A115ED0"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041DE9B6"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0B136658" w14:textId="0A9B9455"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34C51469" w14:textId="0885AB90"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35674DA3" w14:textId="31AF7FC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24</w:t>
                            </w:r>
                          </w:p>
                        </w:tc>
                        <w:tc>
                          <w:tcPr>
                            <w:tcW w:w="1276" w:type="dxa"/>
                          </w:tcPr>
                          <w:p w14:paraId="0DFF810A" w14:textId="77777777" w:rsidR="00AE0183" w:rsidRDefault="00AE0183" w:rsidP="00D5557E">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571A2A8C" w14:textId="07ACDF4F"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6BB89BEB"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p w14:paraId="21DF2FE0" w14:textId="1E061DF9" w:rsidR="00AE0183" w:rsidRPr="000111F5" w:rsidRDefault="00AE0183" w:rsidP="00720D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221B61D0" w14:textId="77777777" w:rsidR="00AE0183"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p w14:paraId="0A3C7740" w14:textId="244264A2" w:rsidR="00AE0183" w:rsidRPr="000111F5" w:rsidRDefault="00AE0183" w:rsidP="00D5557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1.06 (0.92-1.23)</w:t>
                            </w:r>
                          </w:p>
                        </w:tc>
                      </w:tr>
                      <w:tr w:rsidR="00AE0183" w:rsidRPr="000111F5" w14:paraId="2EF1C411" w14:textId="77777777" w:rsidTr="001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6F6C93A"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 xml:space="preserve">Lin </w:t>
                            </w:r>
                          </w:p>
                          <w:p w14:paraId="349287D1" w14:textId="77777777" w:rsidR="00AE0183" w:rsidRPr="000111F5" w:rsidRDefault="00AE0183" w:rsidP="00D5557E">
                            <w:pPr>
                              <w:rPr>
                                <w:rFonts w:ascii="Arial Narrow" w:hAnsi="Arial Narrow" w:cs="Arial"/>
                                <w:sz w:val="20"/>
                                <w:szCs w:val="20"/>
                              </w:rPr>
                            </w:pPr>
                            <w:r w:rsidRPr="000111F5">
                              <w:rPr>
                                <w:rFonts w:ascii="Arial Narrow" w:hAnsi="Arial Narrow" w:cs="Arial"/>
                                <w:sz w:val="20"/>
                                <w:szCs w:val="20"/>
                              </w:rPr>
                              <w:t>2021</w:t>
                            </w:r>
                          </w:p>
                        </w:tc>
                        <w:tc>
                          <w:tcPr>
                            <w:tcW w:w="850" w:type="dxa"/>
                          </w:tcPr>
                          <w:p w14:paraId="32B9F60B"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4713D48" w14:textId="35DE784D"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Cohorte</w:t>
                            </w:r>
                          </w:p>
                        </w:tc>
                        <w:tc>
                          <w:tcPr>
                            <w:tcW w:w="992" w:type="dxa"/>
                          </w:tcPr>
                          <w:p w14:paraId="421ACC19" w14:textId="77777777" w:rsidR="00AE0183" w:rsidRDefault="00AE0183" w:rsidP="009D69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3748E3A0" w14:textId="6F05870C"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Taiwán</w:t>
                            </w:r>
                          </w:p>
                        </w:tc>
                        <w:tc>
                          <w:tcPr>
                            <w:tcW w:w="1134" w:type="dxa"/>
                          </w:tcPr>
                          <w:p w14:paraId="02513D55" w14:textId="373A5DCE"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Enfermedad renal crónica en diálisis</w:t>
                            </w:r>
                          </w:p>
                        </w:tc>
                        <w:tc>
                          <w:tcPr>
                            <w:tcW w:w="993" w:type="dxa"/>
                          </w:tcPr>
                          <w:p w14:paraId="5A489C66"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1AA8EF2" w14:textId="0F841C9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57</w:t>
                            </w:r>
                          </w:p>
                        </w:tc>
                        <w:tc>
                          <w:tcPr>
                            <w:tcW w:w="850" w:type="dxa"/>
                          </w:tcPr>
                          <w:p w14:paraId="04FDC93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73A7BB6" w14:textId="2EA4D7F6"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IGRA</w:t>
                            </w:r>
                          </w:p>
                        </w:tc>
                        <w:tc>
                          <w:tcPr>
                            <w:tcW w:w="709" w:type="dxa"/>
                          </w:tcPr>
                          <w:p w14:paraId="460DE430"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776D2BCA" w14:textId="46801805"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69</w:t>
                            </w:r>
                          </w:p>
                        </w:tc>
                        <w:tc>
                          <w:tcPr>
                            <w:tcW w:w="1134" w:type="dxa"/>
                          </w:tcPr>
                          <w:p w14:paraId="52D9169B"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9A8BC84" w14:textId="171D1C73"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3HP/9H</w:t>
                            </w:r>
                          </w:p>
                        </w:tc>
                        <w:tc>
                          <w:tcPr>
                            <w:tcW w:w="567" w:type="dxa"/>
                          </w:tcPr>
                          <w:p w14:paraId="55D39F32"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6802E821" w14:textId="328F28CB"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p>
                        </w:tc>
                        <w:tc>
                          <w:tcPr>
                            <w:tcW w:w="850" w:type="dxa"/>
                          </w:tcPr>
                          <w:p w14:paraId="10DB4AB1" w14:textId="0249E5D6"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09551082" w14:textId="6D45264D"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66</w:t>
                            </w:r>
                          </w:p>
                        </w:tc>
                        <w:tc>
                          <w:tcPr>
                            <w:tcW w:w="1276" w:type="dxa"/>
                          </w:tcPr>
                          <w:p w14:paraId="23396CC2" w14:textId="77777777" w:rsidR="00AE0183" w:rsidRDefault="00AE0183" w:rsidP="00D5557E">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1F66F27E" w14:textId="47CD1F5F"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134" w:type="dxa"/>
                          </w:tcPr>
                          <w:p w14:paraId="52364838"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14:paraId="4B718624" w14:textId="6D0E21DF" w:rsidR="00AE0183" w:rsidRPr="000111F5" w:rsidRDefault="00AE0183" w:rsidP="00720D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0111F5">
                              <w:rPr>
                                <w:rFonts w:ascii="Arial Narrow" w:hAnsi="Arial Narrow" w:cs="Arial"/>
                                <w:sz w:val="20"/>
                                <w:szCs w:val="20"/>
                              </w:rPr>
                              <w:t>No estimable</w:t>
                            </w:r>
                          </w:p>
                        </w:tc>
                        <w:tc>
                          <w:tcPr>
                            <w:tcW w:w="1276" w:type="dxa"/>
                          </w:tcPr>
                          <w:p w14:paraId="72135BBE" w14:textId="77777777" w:rsidR="00AE0183"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p w14:paraId="5D340006" w14:textId="077D6EE1" w:rsidR="00AE0183" w:rsidRPr="000111F5" w:rsidRDefault="00AE0183" w:rsidP="00D555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0111F5">
                              <w:rPr>
                                <w:rFonts w:ascii="Arial Narrow" w:hAnsi="Arial Narrow" w:cs="Arial"/>
                                <w:color w:val="000000"/>
                                <w:sz w:val="20"/>
                                <w:szCs w:val="20"/>
                              </w:rPr>
                              <w:t>1.34 (1.02-1.77)</w:t>
                            </w:r>
                          </w:p>
                        </w:tc>
                      </w:tr>
                    </w:tbl>
                    <w:p w14:paraId="66CB2292" w14:textId="77777777" w:rsidR="00AE0183" w:rsidRPr="00720DAE" w:rsidRDefault="00AE0183" w:rsidP="00D5557E">
                      <w:pPr>
                        <w:spacing w:after="0" w:line="240" w:lineRule="auto"/>
                        <w:rPr>
                          <w:rFonts w:ascii="Arial Narrow" w:hAnsi="Arial Narrow" w:cs="Arial"/>
                          <w:i/>
                          <w:iCs/>
                          <w:sz w:val="20"/>
                          <w:szCs w:val="20"/>
                        </w:rPr>
                      </w:pPr>
                      <w:r w:rsidRPr="00720DAE">
                        <w:rPr>
                          <w:rFonts w:ascii="Arial Narrow" w:hAnsi="Arial Narrow" w:cs="Arial"/>
                          <w:i/>
                          <w:iCs/>
                          <w:sz w:val="20"/>
                          <w:szCs w:val="20"/>
                        </w:rPr>
                        <w:t xml:space="preserve">Notas: </w:t>
                      </w:r>
                    </w:p>
                    <w:p w14:paraId="19FA3A45"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cs="Arial"/>
                          <w:sz w:val="20"/>
                          <w:szCs w:val="20"/>
                        </w:rPr>
                        <w:t>*HP: rifapentina/isoniazida</w:t>
                      </w:r>
                    </w:p>
                    <w:p w14:paraId="2F9A2CE1"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rPr>
                        <w:t>†</w:t>
                      </w:r>
                      <w:r w:rsidRPr="001118B9">
                        <w:rPr>
                          <w:rFonts w:ascii="Arial Narrow" w:hAnsi="Arial Narrow" w:cs="Arial"/>
                          <w:sz w:val="20"/>
                          <w:szCs w:val="20"/>
                        </w:rPr>
                        <w:t>H: isoniazida sola</w:t>
                      </w:r>
                    </w:p>
                    <w:p w14:paraId="48B875FA" w14:textId="77777777" w:rsidR="00AE0183" w:rsidRPr="001118B9" w:rsidRDefault="00AE0183" w:rsidP="00D5557E">
                      <w:pPr>
                        <w:spacing w:after="0" w:line="240" w:lineRule="auto"/>
                        <w:rPr>
                          <w:rFonts w:ascii="Arial Narrow" w:hAnsi="Arial Narrow" w:cs="Arial"/>
                          <w:sz w:val="18"/>
                          <w:szCs w:val="18"/>
                        </w:rPr>
                      </w:pPr>
                      <w:r w:rsidRPr="001118B9">
                        <w:rPr>
                          <w:rFonts w:ascii="Arial Narrow" w:hAnsi="Arial Narrow"/>
                        </w:rPr>
                        <w:t>‡</w:t>
                      </w:r>
                      <w:r w:rsidRPr="001118B9">
                        <w:rPr>
                          <w:rFonts w:ascii="Arial Narrow" w:hAnsi="Arial Narrow" w:cs="Arial"/>
                          <w:sz w:val="20"/>
                          <w:szCs w:val="20"/>
                        </w:rPr>
                        <w:t xml:space="preserve">TST: prueba cutánea de tuberculina </w:t>
                      </w:r>
                    </w:p>
                    <w:p w14:paraId="6792C12C" w14:textId="77777777" w:rsidR="00AE0183" w:rsidRPr="001118B9" w:rsidRDefault="00AE0183" w:rsidP="00D5557E">
                      <w:pPr>
                        <w:spacing w:after="0" w:line="240" w:lineRule="auto"/>
                        <w:rPr>
                          <w:rFonts w:ascii="Arial Narrow" w:hAnsi="Arial Narrow" w:cs="Arial"/>
                          <w:sz w:val="20"/>
                          <w:szCs w:val="20"/>
                        </w:rPr>
                      </w:pPr>
                      <w:r w:rsidRPr="001118B9">
                        <w:rPr>
                          <w:rFonts w:ascii="Arial Narrow" w:hAnsi="Arial Narrow"/>
                        </w:rPr>
                        <w:t>‡‡</w:t>
                      </w:r>
                      <w:r w:rsidRPr="001118B9">
                        <w:rPr>
                          <w:rFonts w:ascii="Arial Narrow" w:hAnsi="Arial Narrow" w:cs="Arial"/>
                          <w:sz w:val="20"/>
                          <w:szCs w:val="20"/>
                        </w:rPr>
                        <w:t>IGRA: prueba de liberación de interferón gamma</w:t>
                      </w:r>
                    </w:p>
                    <w:p w14:paraId="125C9083" w14:textId="0EBF4A70" w:rsidR="00AE0183" w:rsidRDefault="00AE0183"/>
                  </w:txbxContent>
                </v:textbox>
                <w10:wrap type="square" anchorx="margin"/>
              </v:shape>
            </w:pict>
          </mc:Fallback>
        </mc:AlternateContent>
      </w:r>
      <w:r w:rsidR="00336EE5" w:rsidRPr="00720DAE">
        <w:rPr>
          <w:rFonts w:ascii="Arial" w:eastAsia="Arial" w:hAnsi="Arial" w:cs="Arial"/>
          <w:b/>
          <w:bCs/>
          <w:sz w:val="24"/>
          <w:szCs w:val="24"/>
        </w:rPr>
        <w:t>Tabla 3.</w:t>
      </w:r>
      <w:r>
        <w:rPr>
          <w:rFonts w:ascii="Arial" w:eastAsia="Arial" w:hAnsi="Arial" w:cs="Arial"/>
          <w:sz w:val="24"/>
          <w:szCs w:val="24"/>
        </w:rPr>
        <w:t xml:space="preserve"> </w:t>
      </w:r>
      <w:r w:rsidRPr="001118B9">
        <w:rPr>
          <w:rFonts w:ascii="Arial" w:eastAsia="Arial" w:hAnsi="Arial" w:cs="Arial"/>
          <w:i/>
          <w:iCs/>
          <w:sz w:val="24"/>
          <w:szCs w:val="24"/>
        </w:rPr>
        <w:t>Características de los estudios incluidos</w:t>
      </w:r>
      <w:r w:rsidR="00E83FBE" w:rsidRPr="001118B9">
        <w:rPr>
          <w:rFonts w:ascii="Arial" w:eastAsia="Arial" w:hAnsi="Arial" w:cs="Arial"/>
          <w:i/>
          <w:iCs/>
          <w:sz w:val="24"/>
          <w:szCs w:val="24"/>
        </w:rPr>
        <w:t>.</w:t>
      </w:r>
    </w:p>
    <w:p w14:paraId="7EA0987A" w14:textId="2C70708E" w:rsidR="00336EE5" w:rsidRDefault="00336EE5" w:rsidP="538C4EBD">
      <w:pPr>
        <w:spacing w:after="0" w:line="360" w:lineRule="auto"/>
        <w:jc w:val="both"/>
        <w:rPr>
          <w:rFonts w:ascii="Arial" w:eastAsia="Arial" w:hAnsi="Arial" w:cs="Arial"/>
          <w:sz w:val="24"/>
          <w:szCs w:val="24"/>
        </w:rPr>
        <w:sectPr w:rsidR="00336EE5" w:rsidSect="00720DAE">
          <w:pgSz w:w="15840" w:h="12240" w:orient="landscape"/>
          <w:pgMar w:top="1440" w:right="1440" w:bottom="1440" w:left="1440" w:header="720" w:footer="720" w:gutter="0"/>
          <w:cols w:space="720"/>
          <w:titlePg/>
          <w:docGrid w:linePitch="360"/>
        </w:sectPr>
      </w:pPr>
    </w:p>
    <w:p w14:paraId="4D7AB6FA" w14:textId="44634142" w:rsidR="538C4EBD" w:rsidRDefault="5141EA98" w:rsidP="00720DAE">
      <w:pPr>
        <w:pStyle w:val="Ttulo2"/>
        <w:rPr>
          <w:bCs/>
        </w:rPr>
      </w:pPr>
      <w:bookmarkStart w:id="18" w:name="_Toc85474279"/>
      <w:r w:rsidRPr="5141EA98">
        <w:rPr>
          <w:bCs/>
        </w:rPr>
        <w:lastRenderedPageBreak/>
        <w:t>Riesgo de sesgo de los estudios incluidos</w:t>
      </w:r>
      <w:bookmarkEnd w:id="18"/>
    </w:p>
    <w:p w14:paraId="2ECB5439" w14:textId="77777777" w:rsidR="001118B9" w:rsidRPr="001118B9" w:rsidRDefault="001118B9" w:rsidP="001118B9"/>
    <w:p w14:paraId="4E903808" w14:textId="3CF4E04D" w:rsidR="13CEF193" w:rsidRDefault="00BF0099" w:rsidP="001118B9">
      <w:pPr>
        <w:spacing w:after="0" w:line="360" w:lineRule="auto"/>
        <w:ind w:firstLine="680"/>
        <w:jc w:val="both"/>
        <w:rPr>
          <w:rFonts w:ascii="Arial" w:eastAsia="Arial" w:hAnsi="Arial" w:cs="Arial"/>
          <w:sz w:val="24"/>
          <w:szCs w:val="24"/>
        </w:rPr>
      </w:pPr>
      <w:r>
        <w:rPr>
          <w:rFonts w:ascii="Arial" w:eastAsia="Arial" w:hAnsi="Arial" w:cs="Arial"/>
          <w:sz w:val="24"/>
          <w:szCs w:val="24"/>
        </w:rPr>
        <w:t xml:space="preserve">En </w:t>
      </w:r>
      <w:r w:rsidR="00031FA2">
        <w:rPr>
          <w:rFonts w:ascii="Arial" w:eastAsia="Arial" w:hAnsi="Arial" w:cs="Arial"/>
          <w:sz w:val="24"/>
          <w:szCs w:val="24"/>
        </w:rPr>
        <w:t xml:space="preserve">la </w:t>
      </w:r>
      <w:r w:rsidR="00031FA2" w:rsidRPr="5141EA98">
        <w:rPr>
          <w:rFonts w:ascii="Arial" w:eastAsia="Arial" w:hAnsi="Arial" w:cs="Arial"/>
          <w:sz w:val="24"/>
          <w:szCs w:val="24"/>
        </w:rPr>
        <w:t>figura</w:t>
      </w:r>
      <w:r w:rsidR="5141EA98" w:rsidRPr="003F073B">
        <w:rPr>
          <w:rFonts w:ascii="Arial" w:eastAsia="Arial" w:hAnsi="Arial" w:cs="Arial"/>
          <w:bCs/>
          <w:sz w:val="24"/>
          <w:szCs w:val="24"/>
        </w:rPr>
        <w:t xml:space="preserve"> 2</w:t>
      </w:r>
      <w:r>
        <w:rPr>
          <w:rFonts w:ascii="Arial" w:eastAsia="Arial" w:hAnsi="Arial" w:cs="Arial"/>
          <w:bCs/>
          <w:sz w:val="24"/>
          <w:szCs w:val="24"/>
        </w:rPr>
        <w:t xml:space="preserve"> </w:t>
      </w:r>
      <w:r w:rsidR="00031FA2">
        <w:rPr>
          <w:rFonts w:ascii="Arial" w:eastAsia="Arial" w:hAnsi="Arial" w:cs="Arial"/>
          <w:bCs/>
          <w:sz w:val="24"/>
          <w:szCs w:val="24"/>
        </w:rPr>
        <w:t>se presenta el</w:t>
      </w:r>
      <w:r>
        <w:rPr>
          <w:rFonts w:ascii="Arial" w:eastAsia="Arial" w:hAnsi="Arial" w:cs="Arial"/>
          <w:bCs/>
          <w:sz w:val="24"/>
          <w:szCs w:val="24"/>
        </w:rPr>
        <w:t xml:space="preserve"> resumen del análisis de </w:t>
      </w:r>
      <w:r w:rsidR="00657F1E">
        <w:rPr>
          <w:rFonts w:ascii="Arial" w:eastAsia="Arial" w:hAnsi="Arial" w:cs="Arial"/>
          <w:sz w:val="24"/>
          <w:szCs w:val="24"/>
        </w:rPr>
        <w:t xml:space="preserve">riesgo </w:t>
      </w:r>
      <w:r>
        <w:rPr>
          <w:rFonts w:ascii="Arial" w:eastAsia="Arial" w:hAnsi="Arial" w:cs="Arial"/>
          <w:sz w:val="24"/>
          <w:szCs w:val="24"/>
        </w:rPr>
        <w:t xml:space="preserve">de sesgo </w:t>
      </w:r>
      <w:r w:rsidR="00657F1E">
        <w:rPr>
          <w:rFonts w:ascii="Arial" w:eastAsia="Arial" w:hAnsi="Arial" w:cs="Arial"/>
          <w:sz w:val="24"/>
          <w:szCs w:val="24"/>
        </w:rPr>
        <w:t xml:space="preserve">de </w:t>
      </w:r>
      <w:r w:rsidR="5141EA98" w:rsidRPr="5141EA98">
        <w:rPr>
          <w:rFonts w:ascii="Arial" w:eastAsia="Arial" w:hAnsi="Arial" w:cs="Arial"/>
          <w:sz w:val="24"/>
          <w:szCs w:val="24"/>
        </w:rPr>
        <w:t xml:space="preserve">cada </w:t>
      </w:r>
      <w:r w:rsidR="00591937">
        <w:rPr>
          <w:rFonts w:ascii="Arial" w:eastAsia="Arial" w:hAnsi="Arial" w:cs="Arial"/>
          <w:sz w:val="24"/>
          <w:szCs w:val="24"/>
        </w:rPr>
        <w:t>ECA</w:t>
      </w:r>
      <w:r w:rsidR="00921B30">
        <w:rPr>
          <w:rFonts w:ascii="Arial" w:eastAsia="Arial" w:hAnsi="Arial" w:cs="Arial"/>
          <w:sz w:val="24"/>
          <w:szCs w:val="24"/>
        </w:rPr>
        <w:t xml:space="preserve"> y se</w:t>
      </w:r>
      <w:r w:rsidR="00C16400">
        <w:rPr>
          <w:rFonts w:ascii="Arial" w:eastAsia="Arial" w:hAnsi="Arial" w:cs="Arial"/>
          <w:sz w:val="24"/>
          <w:szCs w:val="24"/>
        </w:rPr>
        <w:t xml:space="preserve"> </w:t>
      </w:r>
      <w:r w:rsidR="00921B30">
        <w:rPr>
          <w:rFonts w:ascii="Arial" w:eastAsia="Arial" w:hAnsi="Arial" w:cs="Arial"/>
          <w:sz w:val="24"/>
          <w:szCs w:val="24"/>
        </w:rPr>
        <w:t>c</w:t>
      </w:r>
      <w:r w:rsidR="003A7886">
        <w:rPr>
          <w:rFonts w:ascii="Arial" w:eastAsia="Arial" w:hAnsi="Arial" w:cs="Arial"/>
          <w:sz w:val="24"/>
          <w:szCs w:val="24"/>
        </w:rPr>
        <w:t>lasific</w:t>
      </w:r>
      <w:r w:rsidR="00921B30">
        <w:rPr>
          <w:rFonts w:ascii="Arial" w:eastAsia="Arial" w:hAnsi="Arial" w:cs="Arial"/>
          <w:sz w:val="24"/>
          <w:szCs w:val="24"/>
        </w:rPr>
        <w:t>an</w:t>
      </w:r>
      <w:r w:rsidR="003A7886">
        <w:rPr>
          <w:rFonts w:ascii="Arial" w:eastAsia="Arial" w:hAnsi="Arial" w:cs="Arial"/>
          <w:sz w:val="24"/>
          <w:szCs w:val="24"/>
        </w:rPr>
        <w:t xml:space="preserve"> con algunas preocupaciones los 3 ECA en el dominio desviaciones de intervenciones previstas y 2 ECA en el dominio de proceso de aleatorización.</w:t>
      </w:r>
    </w:p>
    <w:p w14:paraId="194DBE32" w14:textId="77777777" w:rsidR="00BA6944" w:rsidRDefault="00BA6944" w:rsidP="001118B9">
      <w:pPr>
        <w:spacing w:after="0" w:line="360" w:lineRule="auto"/>
        <w:ind w:firstLine="680"/>
        <w:jc w:val="both"/>
        <w:rPr>
          <w:rFonts w:ascii="Arial" w:eastAsia="Arial" w:hAnsi="Arial" w:cs="Arial"/>
          <w:sz w:val="24"/>
          <w:szCs w:val="24"/>
        </w:rPr>
      </w:pPr>
    </w:p>
    <w:p w14:paraId="6052343E" w14:textId="76249C64" w:rsidR="13CEF193" w:rsidRDefault="13CEF193" w:rsidP="13CEF193">
      <w:pPr>
        <w:spacing w:after="0" w:line="360" w:lineRule="auto"/>
        <w:jc w:val="both"/>
        <w:rPr>
          <w:rFonts w:ascii="Arial" w:eastAsia="Arial" w:hAnsi="Arial" w:cs="Arial"/>
          <w:sz w:val="24"/>
          <w:szCs w:val="24"/>
        </w:rPr>
      </w:pPr>
    </w:p>
    <w:p w14:paraId="0C4CD5FB" w14:textId="496AE0FA" w:rsidR="20D66459" w:rsidRDefault="5141EA98" w:rsidP="538C4EBD">
      <w:pPr>
        <w:spacing w:line="240" w:lineRule="auto"/>
        <w:jc w:val="both"/>
        <w:rPr>
          <w:rFonts w:ascii="Arial" w:eastAsia="Arial" w:hAnsi="Arial" w:cs="Arial"/>
          <w:i/>
          <w:iCs/>
          <w:sz w:val="24"/>
          <w:szCs w:val="24"/>
        </w:rPr>
      </w:pPr>
      <w:r w:rsidRPr="00336EE5">
        <w:rPr>
          <w:rFonts w:ascii="Arial" w:eastAsia="Arial" w:hAnsi="Arial" w:cs="Arial"/>
          <w:b/>
          <w:sz w:val="24"/>
          <w:szCs w:val="24"/>
        </w:rPr>
        <w:t>Figura 2.</w:t>
      </w:r>
      <w:r w:rsidRPr="5141EA98">
        <w:rPr>
          <w:rFonts w:ascii="Arial" w:eastAsia="Arial" w:hAnsi="Arial" w:cs="Arial"/>
          <w:b/>
          <w:bCs/>
          <w:sz w:val="24"/>
          <w:szCs w:val="24"/>
        </w:rPr>
        <w:t xml:space="preserve"> </w:t>
      </w:r>
      <w:r w:rsidRPr="001118B9">
        <w:rPr>
          <w:rFonts w:ascii="Arial" w:eastAsia="Arial" w:hAnsi="Arial" w:cs="Arial"/>
          <w:i/>
          <w:iCs/>
          <w:sz w:val="24"/>
          <w:szCs w:val="24"/>
        </w:rPr>
        <w:t>Resumen del riesgo de sesgo de los ensayos clínicos aleatorizados incluidos, evaluados con ROB 2.</w:t>
      </w:r>
    </w:p>
    <w:p w14:paraId="74CA67B4" w14:textId="343BA16E" w:rsidR="20D66459" w:rsidRDefault="20D66459" w:rsidP="5141EA98">
      <w:pPr>
        <w:spacing w:line="240" w:lineRule="auto"/>
        <w:rPr>
          <w:rFonts w:ascii="Arial" w:eastAsia="Arial" w:hAnsi="Arial" w:cs="Arial"/>
          <w:sz w:val="24"/>
          <w:szCs w:val="24"/>
        </w:rPr>
      </w:pPr>
      <w:r>
        <w:rPr>
          <w:noProof/>
        </w:rPr>
        <w:drawing>
          <wp:anchor distT="0" distB="0" distL="114300" distR="114300" simplePos="0" relativeHeight="251661312" behindDoc="1" locked="0" layoutInCell="1" allowOverlap="1" wp14:anchorId="63984E68" wp14:editId="1941F357">
            <wp:simplePos x="0" y="0"/>
            <wp:positionH relativeFrom="column">
              <wp:posOffset>215663</wp:posOffset>
            </wp:positionH>
            <wp:positionV relativeFrom="paragraph">
              <wp:posOffset>7620</wp:posOffset>
            </wp:positionV>
            <wp:extent cx="4010025" cy="2847975"/>
            <wp:effectExtent l="0" t="0" r="9525" b="9525"/>
            <wp:wrapTight wrapText="bothSides">
              <wp:wrapPolygon edited="0">
                <wp:start x="0" y="0"/>
                <wp:lineTo x="0" y="21528"/>
                <wp:lineTo x="21549" y="21528"/>
                <wp:lineTo x="21549" y="0"/>
                <wp:lineTo x="0" y="0"/>
              </wp:wrapPolygon>
            </wp:wrapTight>
            <wp:docPr id="1457301860" name="Picture 145730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301860"/>
                    <pic:cNvPicPr/>
                  </pic:nvPicPr>
                  <pic:blipFill>
                    <a:blip r:embed="rId13">
                      <a:extLst>
                        <a:ext uri="{28A0092B-C50C-407E-A947-70E740481C1C}">
                          <a14:useLocalDpi xmlns:a14="http://schemas.microsoft.com/office/drawing/2010/main" val="0"/>
                        </a:ext>
                      </a:extLst>
                    </a:blip>
                    <a:stretch>
                      <a:fillRect/>
                    </a:stretch>
                  </pic:blipFill>
                  <pic:spPr>
                    <a:xfrm>
                      <a:off x="0" y="0"/>
                      <a:ext cx="4010025" cy="2847975"/>
                    </a:xfrm>
                    <a:prstGeom prst="rect">
                      <a:avLst/>
                    </a:prstGeom>
                  </pic:spPr>
                </pic:pic>
              </a:graphicData>
            </a:graphic>
          </wp:anchor>
        </w:drawing>
      </w:r>
    </w:p>
    <w:p w14:paraId="4DEEA7AC" w14:textId="77777777" w:rsidR="00924097" w:rsidRDefault="00924097" w:rsidP="5141EA98">
      <w:pPr>
        <w:spacing w:line="240" w:lineRule="auto"/>
        <w:jc w:val="both"/>
        <w:rPr>
          <w:rFonts w:ascii="Arial" w:eastAsia="Arial" w:hAnsi="Arial" w:cs="Arial"/>
          <w:b/>
          <w:bCs/>
          <w:sz w:val="24"/>
          <w:szCs w:val="24"/>
        </w:rPr>
      </w:pPr>
    </w:p>
    <w:p w14:paraId="2F7EF5F6" w14:textId="77777777" w:rsidR="00924097" w:rsidRDefault="00924097" w:rsidP="5141EA98">
      <w:pPr>
        <w:spacing w:line="240" w:lineRule="auto"/>
        <w:jc w:val="both"/>
        <w:rPr>
          <w:rFonts w:ascii="Arial" w:eastAsia="Arial" w:hAnsi="Arial" w:cs="Arial"/>
          <w:b/>
          <w:bCs/>
          <w:sz w:val="24"/>
          <w:szCs w:val="24"/>
        </w:rPr>
      </w:pPr>
    </w:p>
    <w:p w14:paraId="2DA9DD41" w14:textId="77777777" w:rsidR="00924097" w:rsidRDefault="00924097" w:rsidP="5141EA98">
      <w:pPr>
        <w:spacing w:line="240" w:lineRule="auto"/>
        <w:jc w:val="both"/>
        <w:rPr>
          <w:rFonts w:ascii="Arial" w:eastAsia="Arial" w:hAnsi="Arial" w:cs="Arial"/>
          <w:b/>
          <w:bCs/>
          <w:sz w:val="24"/>
          <w:szCs w:val="24"/>
        </w:rPr>
      </w:pPr>
    </w:p>
    <w:p w14:paraId="71D198FC" w14:textId="77777777" w:rsidR="00924097" w:rsidRDefault="00924097" w:rsidP="5141EA98">
      <w:pPr>
        <w:spacing w:line="240" w:lineRule="auto"/>
        <w:jc w:val="both"/>
        <w:rPr>
          <w:rFonts w:ascii="Arial" w:eastAsia="Arial" w:hAnsi="Arial" w:cs="Arial"/>
          <w:b/>
          <w:bCs/>
          <w:sz w:val="24"/>
          <w:szCs w:val="24"/>
        </w:rPr>
      </w:pPr>
    </w:p>
    <w:p w14:paraId="0438B5D6" w14:textId="0529B2BB" w:rsidR="00924097" w:rsidRDefault="00081C8F" w:rsidP="5141EA98">
      <w:pPr>
        <w:spacing w:line="240" w:lineRule="auto"/>
        <w:jc w:val="both"/>
        <w:rPr>
          <w:rFonts w:ascii="Arial" w:eastAsia="Arial" w:hAnsi="Arial" w:cs="Arial"/>
          <w:b/>
          <w:bCs/>
          <w:sz w:val="24"/>
          <w:szCs w:val="24"/>
        </w:rPr>
      </w:pPr>
      <w:r>
        <w:rPr>
          <w:rFonts w:ascii="Arial" w:eastAsia="Arial" w:hAnsi="Arial" w:cs="Arial"/>
          <w:b/>
          <w:bCs/>
          <w:noProof/>
          <w:sz w:val="24"/>
          <w:szCs w:val="24"/>
        </w:rPr>
        <w:drawing>
          <wp:inline distT="0" distB="0" distL="0" distR="0" wp14:anchorId="1E1B477B" wp14:editId="79FF9CF9">
            <wp:extent cx="855033" cy="8120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3387" cy="819976"/>
                    </a:xfrm>
                    <a:prstGeom prst="rect">
                      <a:avLst/>
                    </a:prstGeom>
                    <a:noFill/>
                  </pic:spPr>
                </pic:pic>
              </a:graphicData>
            </a:graphic>
          </wp:inline>
        </w:drawing>
      </w:r>
    </w:p>
    <w:p w14:paraId="55C9E607" w14:textId="3D8A7D99" w:rsidR="00924097" w:rsidRDefault="00924097" w:rsidP="5141EA98">
      <w:pPr>
        <w:spacing w:line="240" w:lineRule="auto"/>
        <w:jc w:val="both"/>
        <w:rPr>
          <w:rFonts w:ascii="Arial" w:eastAsia="Arial" w:hAnsi="Arial" w:cs="Arial"/>
          <w:b/>
          <w:bCs/>
          <w:sz w:val="24"/>
          <w:szCs w:val="24"/>
        </w:rPr>
      </w:pPr>
    </w:p>
    <w:p w14:paraId="0501355F" w14:textId="1A692860" w:rsidR="00924097" w:rsidRDefault="00924097" w:rsidP="5141EA98">
      <w:pPr>
        <w:spacing w:line="240" w:lineRule="auto"/>
        <w:jc w:val="both"/>
        <w:rPr>
          <w:rFonts w:ascii="Arial" w:eastAsia="Arial" w:hAnsi="Arial" w:cs="Arial"/>
          <w:b/>
          <w:bCs/>
          <w:sz w:val="24"/>
          <w:szCs w:val="24"/>
        </w:rPr>
      </w:pPr>
    </w:p>
    <w:p w14:paraId="4F3E9A74" w14:textId="23203B1E" w:rsidR="00924097" w:rsidRDefault="00924097" w:rsidP="5141EA98">
      <w:pPr>
        <w:spacing w:line="240" w:lineRule="auto"/>
        <w:jc w:val="both"/>
        <w:rPr>
          <w:rFonts w:ascii="Arial" w:eastAsia="Arial" w:hAnsi="Arial" w:cs="Arial"/>
          <w:b/>
          <w:bCs/>
          <w:sz w:val="24"/>
          <w:szCs w:val="24"/>
        </w:rPr>
      </w:pPr>
    </w:p>
    <w:p w14:paraId="2688B29C" w14:textId="77777777" w:rsidR="00BA6944" w:rsidRDefault="00BA6944" w:rsidP="5141EA98">
      <w:pPr>
        <w:spacing w:line="240" w:lineRule="auto"/>
        <w:jc w:val="both"/>
        <w:rPr>
          <w:rFonts w:ascii="Arial" w:eastAsia="Arial" w:hAnsi="Arial" w:cs="Arial"/>
          <w:b/>
          <w:bCs/>
          <w:sz w:val="24"/>
          <w:szCs w:val="24"/>
        </w:rPr>
      </w:pPr>
    </w:p>
    <w:p w14:paraId="5738BBC4" w14:textId="6D675398" w:rsidR="20D66459" w:rsidRDefault="5141EA98" w:rsidP="00BA6944">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 xml:space="preserve">Con respecto a los estudios de </w:t>
      </w:r>
      <w:r w:rsidR="00E0130A">
        <w:rPr>
          <w:rFonts w:ascii="Arial" w:eastAsia="Arial" w:hAnsi="Arial" w:cs="Arial"/>
          <w:sz w:val="24"/>
          <w:szCs w:val="24"/>
        </w:rPr>
        <w:t>cohortes</w:t>
      </w:r>
      <w:r w:rsidRPr="5141EA98">
        <w:rPr>
          <w:rFonts w:ascii="Arial" w:eastAsia="Arial" w:hAnsi="Arial" w:cs="Arial"/>
          <w:sz w:val="24"/>
          <w:szCs w:val="24"/>
        </w:rPr>
        <w:t xml:space="preserve"> incluidos, tras la evaluación con la herramienta </w:t>
      </w:r>
      <w:r w:rsidRPr="00C16400">
        <w:rPr>
          <w:rFonts w:ascii="Arial" w:eastAsia="Arial" w:hAnsi="Arial" w:cs="Arial"/>
          <w:sz w:val="24"/>
          <w:szCs w:val="24"/>
        </w:rPr>
        <w:t>ROBINS-I</w:t>
      </w:r>
      <w:r w:rsidRPr="00C16400">
        <w:rPr>
          <w:rFonts w:ascii="Arial" w:eastAsia="Arial" w:hAnsi="Arial" w:cs="Arial"/>
          <w:i/>
          <w:iCs/>
          <w:sz w:val="24"/>
          <w:szCs w:val="24"/>
        </w:rPr>
        <w:t xml:space="preserve"> </w:t>
      </w:r>
      <w:r w:rsidRPr="5141EA98">
        <w:rPr>
          <w:rFonts w:ascii="Arial" w:eastAsia="Arial" w:hAnsi="Arial" w:cs="Arial"/>
          <w:sz w:val="24"/>
          <w:szCs w:val="24"/>
        </w:rPr>
        <w:t>(</w:t>
      </w:r>
      <w:r w:rsidRPr="003F073B">
        <w:rPr>
          <w:rFonts w:ascii="Arial" w:eastAsia="Arial" w:hAnsi="Arial" w:cs="Arial"/>
          <w:bCs/>
          <w:sz w:val="24"/>
          <w:szCs w:val="24"/>
        </w:rPr>
        <w:t xml:space="preserve">figura </w:t>
      </w:r>
      <w:r w:rsidR="0007291B">
        <w:rPr>
          <w:rFonts w:ascii="Arial" w:eastAsia="Arial" w:hAnsi="Arial" w:cs="Arial"/>
          <w:bCs/>
          <w:sz w:val="24"/>
          <w:szCs w:val="24"/>
        </w:rPr>
        <w:t>3</w:t>
      </w:r>
      <w:r w:rsidRPr="5141EA98">
        <w:rPr>
          <w:rFonts w:ascii="Arial" w:eastAsia="Arial" w:hAnsi="Arial" w:cs="Arial"/>
          <w:sz w:val="24"/>
          <w:szCs w:val="24"/>
        </w:rPr>
        <w:t>), cada estudio se clasificó con riesgo de sesgo</w:t>
      </w:r>
      <w:r w:rsidR="00657F1E" w:rsidRPr="00657F1E">
        <w:rPr>
          <w:rFonts w:ascii="Arial" w:eastAsia="Arial" w:hAnsi="Arial" w:cs="Arial"/>
          <w:sz w:val="24"/>
          <w:szCs w:val="24"/>
        </w:rPr>
        <w:t xml:space="preserve"> </w:t>
      </w:r>
      <w:r w:rsidR="00657F1E" w:rsidRPr="5141EA98">
        <w:rPr>
          <w:rFonts w:ascii="Arial" w:eastAsia="Arial" w:hAnsi="Arial" w:cs="Arial"/>
          <w:sz w:val="24"/>
          <w:szCs w:val="24"/>
        </w:rPr>
        <w:t>serio</w:t>
      </w:r>
      <w:r w:rsidRPr="5141EA98">
        <w:rPr>
          <w:rFonts w:ascii="Arial" w:eastAsia="Arial" w:hAnsi="Arial" w:cs="Arial"/>
          <w:sz w:val="24"/>
          <w:szCs w:val="24"/>
        </w:rPr>
        <w:t>. En general</w:t>
      </w:r>
      <w:r w:rsidR="00657F1E">
        <w:rPr>
          <w:rFonts w:ascii="Arial" w:eastAsia="Arial" w:hAnsi="Arial" w:cs="Arial"/>
          <w:sz w:val="24"/>
          <w:szCs w:val="24"/>
        </w:rPr>
        <w:t>,</w:t>
      </w:r>
      <w:r w:rsidRPr="5141EA98">
        <w:rPr>
          <w:rFonts w:ascii="Arial" w:eastAsia="Arial" w:hAnsi="Arial" w:cs="Arial"/>
          <w:sz w:val="24"/>
          <w:szCs w:val="24"/>
        </w:rPr>
        <w:t xml:space="preserve"> los dominios con riesgo </w:t>
      </w:r>
      <w:r w:rsidR="00657F1E" w:rsidRPr="5141EA98">
        <w:rPr>
          <w:rFonts w:ascii="Arial" w:eastAsia="Arial" w:hAnsi="Arial" w:cs="Arial"/>
          <w:sz w:val="24"/>
          <w:szCs w:val="24"/>
        </w:rPr>
        <w:t xml:space="preserve">serio </w:t>
      </w:r>
      <w:r w:rsidRPr="5141EA98">
        <w:rPr>
          <w:rFonts w:ascii="Arial" w:eastAsia="Arial" w:hAnsi="Arial" w:cs="Arial"/>
          <w:sz w:val="24"/>
          <w:szCs w:val="24"/>
        </w:rPr>
        <w:t xml:space="preserve">fueron los que evaluaron la confusión, la clasificación de la intervención y las desviaciones de las intervenciones previstas. El dominio que evaluaba la medición de los resultados se clasificó con </w:t>
      </w:r>
      <w:r w:rsidR="00657F1E" w:rsidRPr="5141EA98">
        <w:rPr>
          <w:rFonts w:ascii="Arial" w:eastAsia="Arial" w:hAnsi="Arial" w:cs="Arial"/>
          <w:sz w:val="24"/>
          <w:szCs w:val="24"/>
        </w:rPr>
        <w:t xml:space="preserve">riesgo </w:t>
      </w:r>
      <w:r w:rsidRPr="5141EA98">
        <w:rPr>
          <w:rFonts w:ascii="Arial" w:eastAsia="Arial" w:hAnsi="Arial" w:cs="Arial"/>
          <w:sz w:val="24"/>
          <w:szCs w:val="24"/>
        </w:rPr>
        <w:t>moderado.</w:t>
      </w:r>
      <w:r w:rsidR="009D1729">
        <w:rPr>
          <w:rFonts w:ascii="Arial" w:eastAsia="Arial" w:hAnsi="Arial" w:cs="Arial"/>
          <w:sz w:val="24"/>
          <w:szCs w:val="24"/>
        </w:rPr>
        <w:t xml:space="preserve"> </w:t>
      </w:r>
      <w:r w:rsidRPr="5141EA98">
        <w:rPr>
          <w:rFonts w:ascii="Arial" w:eastAsia="Arial" w:hAnsi="Arial" w:cs="Arial"/>
          <w:sz w:val="24"/>
          <w:szCs w:val="24"/>
        </w:rPr>
        <w:t xml:space="preserve">Los dominios clasificados con bajo riesgo fueron los que evaluaron la selección de participantes, la falta de datos de resultados y </w:t>
      </w:r>
      <w:r w:rsidR="00657F1E">
        <w:rPr>
          <w:rFonts w:ascii="Arial" w:eastAsia="Arial" w:hAnsi="Arial" w:cs="Arial"/>
          <w:sz w:val="24"/>
          <w:szCs w:val="24"/>
        </w:rPr>
        <w:t xml:space="preserve">la </w:t>
      </w:r>
      <w:r w:rsidRPr="5141EA98">
        <w:rPr>
          <w:rFonts w:ascii="Arial" w:eastAsia="Arial" w:hAnsi="Arial" w:cs="Arial"/>
          <w:sz w:val="24"/>
          <w:szCs w:val="24"/>
        </w:rPr>
        <w:t>selección de resultado</w:t>
      </w:r>
      <w:r w:rsidR="00657F1E">
        <w:rPr>
          <w:rFonts w:ascii="Arial" w:eastAsia="Arial" w:hAnsi="Arial" w:cs="Arial"/>
          <w:sz w:val="24"/>
          <w:szCs w:val="24"/>
        </w:rPr>
        <w:t>s</w:t>
      </w:r>
      <w:r w:rsidRPr="5141EA98">
        <w:rPr>
          <w:rFonts w:ascii="Arial" w:eastAsia="Arial" w:hAnsi="Arial" w:cs="Arial"/>
          <w:sz w:val="24"/>
          <w:szCs w:val="24"/>
        </w:rPr>
        <w:t xml:space="preserve"> reportado</w:t>
      </w:r>
      <w:r w:rsidR="00657F1E">
        <w:rPr>
          <w:rFonts w:ascii="Arial" w:eastAsia="Arial" w:hAnsi="Arial" w:cs="Arial"/>
          <w:sz w:val="24"/>
          <w:szCs w:val="24"/>
        </w:rPr>
        <w:t>s</w:t>
      </w:r>
      <w:r w:rsidRPr="5141EA98">
        <w:rPr>
          <w:rFonts w:ascii="Arial" w:eastAsia="Arial" w:hAnsi="Arial" w:cs="Arial"/>
          <w:sz w:val="24"/>
          <w:szCs w:val="24"/>
        </w:rPr>
        <w:t>.</w:t>
      </w:r>
    </w:p>
    <w:p w14:paraId="3692FEC3" w14:textId="4044475F" w:rsidR="003F073B" w:rsidRDefault="003F073B" w:rsidP="538C4EBD">
      <w:pPr>
        <w:spacing w:after="0" w:line="360" w:lineRule="auto"/>
        <w:jc w:val="both"/>
        <w:rPr>
          <w:rFonts w:ascii="Arial" w:eastAsia="Arial" w:hAnsi="Arial" w:cs="Arial"/>
          <w:sz w:val="24"/>
          <w:szCs w:val="24"/>
        </w:rPr>
      </w:pPr>
    </w:p>
    <w:p w14:paraId="30C41C72" w14:textId="052A514E" w:rsidR="003F073B" w:rsidRDefault="003F073B" w:rsidP="538C4EBD">
      <w:pPr>
        <w:spacing w:after="0" w:line="360" w:lineRule="auto"/>
        <w:jc w:val="both"/>
        <w:rPr>
          <w:rFonts w:ascii="Arial" w:eastAsia="Arial" w:hAnsi="Arial" w:cs="Arial"/>
          <w:sz w:val="24"/>
          <w:szCs w:val="24"/>
        </w:rPr>
      </w:pPr>
    </w:p>
    <w:p w14:paraId="0F18B53A" w14:textId="51756591" w:rsidR="20D66459" w:rsidRDefault="5141EA98" w:rsidP="5141EA98">
      <w:pPr>
        <w:spacing w:line="240" w:lineRule="auto"/>
        <w:jc w:val="both"/>
        <w:rPr>
          <w:rFonts w:ascii="Arial" w:eastAsia="Arial" w:hAnsi="Arial" w:cs="Arial"/>
          <w:sz w:val="24"/>
          <w:szCs w:val="24"/>
        </w:rPr>
      </w:pPr>
      <w:r w:rsidRPr="00336EE5">
        <w:rPr>
          <w:rFonts w:ascii="Arial" w:eastAsia="Arial" w:hAnsi="Arial" w:cs="Arial"/>
          <w:b/>
          <w:bCs/>
          <w:sz w:val="24"/>
          <w:szCs w:val="24"/>
        </w:rPr>
        <w:lastRenderedPageBreak/>
        <w:t xml:space="preserve">Figura </w:t>
      </w:r>
      <w:r w:rsidR="0007291B" w:rsidRPr="00336EE5">
        <w:rPr>
          <w:rFonts w:ascii="Arial" w:eastAsia="Arial" w:hAnsi="Arial" w:cs="Arial"/>
          <w:b/>
          <w:bCs/>
          <w:sz w:val="24"/>
          <w:szCs w:val="24"/>
        </w:rPr>
        <w:t>3</w:t>
      </w:r>
      <w:r w:rsidRPr="00013BBC">
        <w:rPr>
          <w:rFonts w:ascii="Arial" w:eastAsia="Arial" w:hAnsi="Arial" w:cs="Arial"/>
          <w:b/>
          <w:bCs/>
          <w:sz w:val="24"/>
          <w:szCs w:val="24"/>
        </w:rPr>
        <w:t>.</w:t>
      </w:r>
      <w:r w:rsidRPr="5141EA98">
        <w:rPr>
          <w:rFonts w:ascii="Arial" w:eastAsia="Arial" w:hAnsi="Arial" w:cs="Arial"/>
          <w:b/>
          <w:bCs/>
          <w:sz w:val="24"/>
          <w:szCs w:val="24"/>
        </w:rPr>
        <w:t xml:space="preserve"> </w:t>
      </w:r>
      <w:r w:rsidRPr="001118B9">
        <w:rPr>
          <w:rFonts w:ascii="Arial" w:eastAsia="Arial" w:hAnsi="Arial" w:cs="Arial"/>
          <w:i/>
          <w:iCs/>
          <w:sz w:val="24"/>
          <w:szCs w:val="24"/>
        </w:rPr>
        <w:t xml:space="preserve">Resumen del riesgo de sesgo de los estudios de </w:t>
      </w:r>
      <w:r w:rsidR="00E0130A" w:rsidRPr="001118B9">
        <w:rPr>
          <w:rFonts w:ascii="Arial" w:eastAsia="Arial" w:hAnsi="Arial" w:cs="Arial"/>
          <w:i/>
          <w:iCs/>
          <w:sz w:val="24"/>
          <w:szCs w:val="24"/>
        </w:rPr>
        <w:t>cohortes</w:t>
      </w:r>
      <w:r w:rsidRPr="001118B9">
        <w:rPr>
          <w:rFonts w:ascii="Arial" w:eastAsia="Arial" w:hAnsi="Arial" w:cs="Arial"/>
          <w:i/>
          <w:iCs/>
          <w:sz w:val="24"/>
          <w:szCs w:val="24"/>
        </w:rPr>
        <w:t xml:space="preserve"> incluidos, evaluados con ROBINS-I.</w:t>
      </w:r>
    </w:p>
    <w:p w14:paraId="5A8B8273" w14:textId="765B3FBB" w:rsidR="20D66459" w:rsidRDefault="20D66459" w:rsidP="5141EA98">
      <w:pPr>
        <w:spacing w:after="0" w:line="360" w:lineRule="auto"/>
        <w:jc w:val="both"/>
        <w:rPr>
          <w:rFonts w:ascii="Arial" w:eastAsia="Arial" w:hAnsi="Arial" w:cs="Arial"/>
          <w:sz w:val="24"/>
          <w:szCs w:val="24"/>
        </w:rPr>
      </w:pPr>
      <w:r>
        <w:rPr>
          <w:noProof/>
        </w:rPr>
        <w:drawing>
          <wp:anchor distT="0" distB="0" distL="114300" distR="114300" simplePos="0" relativeHeight="251659264" behindDoc="1" locked="0" layoutInCell="1" allowOverlap="1" wp14:anchorId="45D637C7" wp14:editId="7586E923">
            <wp:simplePos x="0" y="0"/>
            <wp:positionH relativeFrom="column">
              <wp:posOffset>937895</wp:posOffset>
            </wp:positionH>
            <wp:positionV relativeFrom="paragraph">
              <wp:posOffset>-1270</wp:posOffset>
            </wp:positionV>
            <wp:extent cx="3918585" cy="3575050"/>
            <wp:effectExtent l="0" t="0" r="5715" b="6350"/>
            <wp:wrapTight wrapText="bothSides">
              <wp:wrapPolygon edited="0">
                <wp:start x="0" y="0"/>
                <wp:lineTo x="0" y="21523"/>
                <wp:lineTo x="21526" y="21523"/>
                <wp:lineTo x="21526" y="0"/>
                <wp:lineTo x="0" y="0"/>
              </wp:wrapPolygon>
            </wp:wrapTight>
            <wp:docPr id="8749054" name="Picture 87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9054"/>
                    <pic:cNvPicPr/>
                  </pic:nvPicPr>
                  <pic:blipFill>
                    <a:blip r:embed="rId15">
                      <a:extLst>
                        <a:ext uri="{28A0092B-C50C-407E-A947-70E740481C1C}">
                          <a14:useLocalDpi xmlns:a14="http://schemas.microsoft.com/office/drawing/2010/main" val="0"/>
                        </a:ext>
                      </a:extLst>
                    </a:blip>
                    <a:stretch>
                      <a:fillRect/>
                    </a:stretch>
                  </pic:blipFill>
                  <pic:spPr>
                    <a:xfrm>
                      <a:off x="0" y="0"/>
                      <a:ext cx="3918585" cy="3575050"/>
                    </a:xfrm>
                    <a:prstGeom prst="rect">
                      <a:avLst/>
                    </a:prstGeom>
                  </pic:spPr>
                </pic:pic>
              </a:graphicData>
            </a:graphic>
            <wp14:sizeRelH relativeFrom="margin">
              <wp14:pctWidth>0</wp14:pctWidth>
            </wp14:sizeRelH>
            <wp14:sizeRelV relativeFrom="margin">
              <wp14:pctHeight>0</wp14:pctHeight>
            </wp14:sizeRelV>
          </wp:anchor>
        </w:drawing>
      </w:r>
    </w:p>
    <w:p w14:paraId="2DFF2AAC" w14:textId="40098207" w:rsidR="538C4EBD" w:rsidRDefault="538C4EBD" w:rsidP="5141EA98">
      <w:pPr>
        <w:spacing w:after="0" w:line="360" w:lineRule="auto"/>
        <w:rPr>
          <w:rFonts w:ascii="Arial" w:eastAsia="Arial" w:hAnsi="Arial" w:cs="Arial"/>
          <w:sz w:val="24"/>
          <w:szCs w:val="24"/>
        </w:rPr>
      </w:pPr>
    </w:p>
    <w:p w14:paraId="15F478CC" w14:textId="77777777" w:rsidR="00ED1A46" w:rsidRDefault="00ED1A46" w:rsidP="13CEF193">
      <w:pPr>
        <w:spacing w:after="0" w:line="360" w:lineRule="auto"/>
        <w:rPr>
          <w:rFonts w:ascii="Arial" w:eastAsia="Arial" w:hAnsi="Arial" w:cs="Arial"/>
          <w:b/>
          <w:bCs/>
          <w:sz w:val="24"/>
          <w:szCs w:val="24"/>
        </w:rPr>
      </w:pPr>
    </w:p>
    <w:p w14:paraId="2B4CAB01" w14:textId="77777777" w:rsidR="00ED1A46" w:rsidRDefault="00ED1A46" w:rsidP="13CEF193">
      <w:pPr>
        <w:spacing w:after="0" w:line="360" w:lineRule="auto"/>
        <w:rPr>
          <w:rFonts w:ascii="Arial" w:eastAsia="Arial" w:hAnsi="Arial" w:cs="Arial"/>
          <w:b/>
          <w:bCs/>
          <w:sz w:val="24"/>
          <w:szCs w:val="24"/>
        </w:rPr>
      </w:pPr>
    </w:p>
    <w:p w14:paraId="0B10E1A3" w14:textId="77777777" w:rsidR="00ED1A46" w:rsidRDefault="00ED1A46" w:rsidP="13CEF193">
      <w:pPr>
        <w:spacing w:after="0" w:line="360" w:lineRule="auto"/>
        <w:rPr>
          <w:rFonts w:ascii="Arial" w:eastAsia="Arial" w:hAnsi="Arial" w:cs="Arial"/>
          <w:b/>
          <w:bCs/>
          <w:sz w:val="24"/>
          <w:szCs w:val="24"/>
        </w:rPr>
      </w:pPr>
    </w:p>
    <w:p w14:paraId="7E12745E" w14:textId="77777777" w:rsidR="00ED1A46" w:rsidRDefault="00ED1A46" w:rsidP="13CEF193">
      <w:pPr>
        <w:spacing w:after="0" w:line="360" w:lineRule="auto"/>
        <w:rPr>
          <w:rFonts w:ascii="Arial" w:eastAsia="Arial" w:hAnsi="Arial" w:cs="Arial"/>
          <w:b/>
          <w:bCs/>
          <w:sz w:val="24"/>
          <w:szCs w:val="24"/>
        </w:rPr>
      </w:pPr>
    </w:p>
    <w:p w14:paraId="21EBD9B8" w14:textId="77777777" w:rsidR="00ED1A46" w:rsidRDefault="00ED1A46" w:rsidP="13CEF193">
      <w:pPr>
        <w:spacing w:after="0" w:line="360" w:lineRule="auto"/>
        <w:rPr>
          <w:rFonts w:ascii="Arial" w:eastAsia="Arial" w:hAnsi="Arial" w:cs="Arial"/>
          <w:b/>
          <w:bCs/>
          <w:sz w:val="24"/>
          <w:szCs w:val="24"/>
        </w:rPr>
      </w:pPr>
    </w:p>
    <w:p w14:paraId="1EDC63CB" w14:textId="77777777" w:rsidR="00ED1A46" w:rsidRDefault="00ED1A46" w:rsidP="13CEF193">
      <w:pPr>
        <w:spacing w:after="0" w:line="360" w:lineRule="auto"/>
        <w:rPr>
          <w:rFonts w:ascii="Arial" w:eastAsia="Arial" w:hAnsi="Arial" w:cs="Arial"/>
          <w:b/>
          <w:bCs/>
          <w:sz w:val="24"/>
          <w:szCs w:val="24"/>
        </w:rPr>
      </w:pPr>
    </w:p>
    <w:p w14:paraId="327C60B3" w14:textId="77777777" w:rsidR="00ED1A46" w:rsidRDefault="00ED1A46" w:rsidP="13CEF193">
      <w:pPr>
        <w:spacing w:after="0" w:line="360" w:lineRule="auto"/>
        <w:rPr>
          <w:rFonts w:ascii="Arial" w:eastAsia="Arial" w:hAnsi="Arial" w:cs="Arial"/>
          <w:b/>
          <w:bCs/>
          <w:sz w:val="24"/>
          <w:szCs w:val="24"/>
        </w:rPr>
      </w:pPr>
    </w:p>
    <w:p w14:paraId="7319ED25" w14:textId="77777777" w:rsidR="00ED1A46" w:rsidRDefault="00ED1A46" w:rsidP="13CEF193">
      <w:pPr>
        <w:spacing w:after="0" w:line="360" w:lineRule="auto"/>
        <w:rPr>
          <w:rFonts w:ascii="Arial" w:eastAsia="Arial" w:hAnsi="Arial" w:cs="Arial"/>
          <w:b/>
          <w:bCs/>
          <w:sz w:val="24"/>
          <w:szCs w:val="24"/>
        </w:rPr>
      </w:pPr>
    </w:p>
    <w:p w14:paraId="0611F420" w14:textId="77777777" w:rsidR="00ED1A46" w:rsidRDefault="00ED1A46" w:rsidP="13CEF193">
      <w:pPr>
        <w:spacing w:after="0" w:line="360" w:lineRule="auto"/>
        <w:rPr>
          <w:rFonts w:ascii="Arial" w:eastAsia="Arial" w:hAnsi="Arial" w:cs="Arial"/>
          <w:b/>
          <w:bCs/>
          <w:sz w:val="24"/>
          <w:szCs w:val="24"/>
        </w:rPr>
      </w:pPr>
    </w:p>
    <w:p w14:paraId="1B5444AE" w14:textId="77777777" w:rsidR="00ED1A46" w:rsidRDefault="00ED1A46" w:rsidP="13CEF193">
      <w:pPr>
        <w:spacing w:after="0" w:line="360" w:lineRule="auto"/>
        <w:rPr>
          <w:rFonts w:ascii="Arial" w:eastAsia="Arial" w:hAnsi="Arial" w:cs="Arial"/>
          <w:b/>
          <w:bCs/>
          <w:sz w:val="24"/>
          <w:szCs w:val="24"/>
        </w:rPr>
      </w:pPr>
    </w:p>
    <w:p w14:paraId="21D8F9C8" w14:textId="77777777" w:rsidR="00ED1A46" w:rsidRDefault="00ED1A46" w:rsidP="13CEF193">
      <w:pPr>
        <w:spacing w:after="0" w:line="360" w:lineRule="auto"/>
        <w:rPr>
          <w:rFonts w:ascii="Arial" w:eastAsia="Arial" w:hAnsi="Arial" w:cs="Arial"/>
          <w:b/>
          <w:bCs/>
          <w:sz w:val="24"/>
          <w:szCs w:val="24"/>
        </w:rPr>
      </w:pPr>
    </w:p>
    <w:p w14:paraId="2AA1A6D5" w14:textId="53AADC46" w:rsidR="00ED1A46" w:rsidRDefault="00ED1A46" w:rsidP="13CEF193">
      <w:pPr>
        <w:spacing w:after="0" w:line="360" w:lineRule="auto"/>
        <w:rPr>
          <w:rFonts w:ascii="Arial" w:eastAsia="Arial" w:hAnsi="Arial" w:cs="Arial"/>
          <w:b/>
          <w:bCs/>
          <w:sz w:val="24"/>
          <w:szCs w:val="24"/>
        </w:rPr>
      </w:pPr>
    </w:p>
    <w:p w14:paraId="5CD14D4F" w14:textId="77777777" w:rsidR="00BA37E4" w:rsidRDefault="00BA37E4" w:rsidP="13CEF193">
      <w:pPr>
        <w:spacing w:after="0" w:line="360" w:lineRule="auto"/>
        <w:rPr>
          <w:rFonts w:ascii="Arial" w:eastAsia="Arial" w:hAnsi="Arial" w:cs="Arial"/>
          <w:b/>
          <w:bCs/>
          <w:sz w:val="24"/>
          <w:szCs w:val="24"/>
        </w:rPr>
      </w:pPr>
    </w:p>
    <w:p w14:paraId="1A1BCCFA" w14:textId="6A6717C5" w:rsidR="00BF0099" w:rsidRDefault="00EC4336" w:rsidP="00720DAE">
      <w:pPr>
        <w:pStyle w:val="Ttulo2"/>
      </w:pPr>
      <w:bookmarkStart w:id="19" w:name="_Toc85474280"/>
      <w:r>
        <w:t xml:space="preserve">Evidencia de </w:t>
      </w:r>
      <w:r w:rsidR="003A7886">
        <w:t>los desenlaces</w:t>
      </w:r>
      <w:bookmarkEnd w:id="19"/>
      <w:r w:rsidR="003A7886">
        <w:t xml:space="preserve"> </w:t>
      </w:r>
    </w:p>
    <w:p w14:paraId="0FF93609" w14:textId="77777777" w:rsidR="00EC4336" w:rsidRDefault="00EC4336" w:rsidP="13CEF193">
      <w:pPr>
        <w:spacing w:after="0" w:line="360" w:lineRule="auto"/>
        <w:rPr>
          <w:rFonts w:ascii="Arial" w:eastAsia="Arial" w:hAnsi="Arial" w:cs="Arial"/>
          <w:b/>
          <w:bCs/>
          <w:sz w:val="24"/>
          <w:szCs w:val="24"/>
        </w:rPr>
      </w:pPr>
    </w:p>
    <w:p w14:paraId="3E62FF11" w14:textId="6538D3CD" w:rsidR="538C4EBD" w:rsidRDefault="5141EA98" w:rsidP="00720DAE">
      <w:pPr>
        <w:pStyle w:val="Ttulo3"/>
        <w:rPr>
          <w:bCs/>
          <w:i/>
          <w:iCs/>
        </w:rPr>
      </w:pPr>
      <w:bookmarkStart w:id="20" w:name="_Toc85474281"/>
      <w:r w:rsidRPr="00921B30">
        <w:rPr>
          <w:bCs/>
          <w:i/>
          <w:iCs/>
        </w:rPr>
        <w:t>TB activa</w:t>
      </w:r>
      <w:bookmarkEnd w:id="20"/>
      <w:r w:rsidR="008E0CF3" w:rsidRPr="00921B30">
        <w:rPr>
          <w:bCs/>
          <w:i/>
          <w:iCs/>
        </w:rPr>
        <w:t xml:space="preserve"> </w:t>
      </w:r>
    </w:p>
    <w:p w14:paraId="5022441A" w14:textId="77777777" w:rsidR="00BA6944" w:rsidRPr="00BA6944" w:rsidRDefault="00BA6944" w:rsidP="00BA6944"/>
    <w:p w14:paraId="16FC5B7C" w14:textId="45437086" w:rsidR="13CEF193" w:rsidRDefault="5141EA98" w:rsidP="00BA6944">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 xml:space="preserve">Al realizar el metaanálisis </w:t>
      </w:r>
      <w:r w:rsidR="00924097">
        <w:rPr>
          <w:rFonts w:ascii="Arial" w:eastAsia="Arial" w:hAnsi="Arial" w:cs="Arial"/>
          <w:sz w:val="24"/>
          <w:szCs w:val="24"/>
        </w:rPr>
        <w:t xml:space="preserve">de </w:t>
      </w:r>
      <w:r w:rsidRPr="5141EA98">
        <w:rPr>
          <w:rFonts w:ascii="Arial" w:eastAsia="Arial" w:hAnsi="Arial" w:cs="Arial"/>
          <w:sz w:val="24"/>
          <w:szCs w:val="24"/>
        </w:rPr>
        <w:t>los tres ECA con personas que viven con VIH (</w:t>
      </w:r>
      <w:r w:rsidRPr="003F073B">
        <w:rPr>
          <w:rFonts w:ascii="Arial" w:eastAsia="Arial" w:hAnsi="Arial" w:cs="Arial"/>
          <w:bCs/>
          <w:sz w:val="24"/>
          <w:szCs w:val="24"/>
        </w:rPr>
        <w:t xml:space="preserve">figura </w:t>
      </w:r>
      <w:r w:rsidR="0007291B">
        <w:rPr>
          <w:rFonts w:ascii="Arial" w:eastAsia="Arial" w:hAnsi="Arial" w:cs="Arial"/>
          <w:bCs/>
          <w:sz w:val="24"/>
          <w:szCs w:val="24"/>
        </w:rPr>
        <w:t>4</w:t>
      </w:r>
      <w:r w:rsidRPr="5141EA98">
        <w:rPr>
          <w:rFonts w:ascii="Arial" w:eastAsia="Arial" w:hAnsi="Arial" w:cs="Arial"/>
          <w:sz w:val="24"/>
          <w:szCs w:val="24"/>
        </w:rPr>
        <w:t>), no se encontraron diferencias entre la rifapentina/isoniazida e isoniazida sola en el tratamiento de la ILTB para prevenir TB activa (RR: 0.95, IC95% 0.56</w:t>
      </w:r>
      <w:r w:rsidR="0007291B">
        <w:rPr>
          <w:rFonts w:ascii="Arial" w:eastAsia="Arial" w:hAnsi="Arial" w:cs="Arial"/>
          <w:sz w:val="24"/>
          <w:szCs w:val="24"/>
        </w:rPr>
        <w:t>;</w:t>
      </w:r>
      <w:r w:rsidR="00A85171">
        <w:rPr>
          <w:rFonts w:ascii="Arial" w:eastAsia="Arial" w:hAnsi="Arial" w:cs="Arial"/>
          <w:sz w:val="24"/>
          <w:szCs w:val="24"/>
        </w:rPr>
        <w:t xml:space="preserve"> </w:t>
      </w:r>
      <w:r w:rsidRPr="5141EA98">
        <w:rPr>
          <w:rFonts w:ascii="Arial" w:eastAsia="Arial" w:hAnsi="Arial" w:cs="Arial"/>
          <w:sz w:val="24"/>
          <w:szCs w:val="24"/>
        </w:rPr>
        <w:t>1.60, I</w:t>
      </w:r>
      <w:r w:rsidRPr="5141EA98">
        <w:rPr>
          <w:rFonts w:ascii="Arial" w:eastAsia="Arial" w:hAnsi="Arial" w:cs="Arial"/>
          <w:sz w:val="24"/>
          <w:szCs w:val="24"/>
          <w:vertAlign w:val="superscript"/>
        </w:rPr>
        <w:t>2</w:t>
      </w:r>
      <w:r w:rsidRPr="5141EA98">
        <w:rPr>
          <w:rFonts w:ascii="Arial" w:eastAsia="Arial" w:hAnsi="Arial" w:cs="Arial"/>
          <w:sz w:val="24"/>
          <w:szCs w:val="24"/>
        </w:rPr>
        <w:t xml:space="preserve">= 13%). </w:t>
      </w:r>
      <w:r w:rsidR="00D974D3">
        <w:rPr>
          <w:rFonts w:ascii="Arial" w:eastAsia="Arial" w:hAnsi="Arial" w:cs="Arial"/>
          <w:sz w:val="24"/>
          <w:szCs w:val="24"/>
        </w:rPr>
        <w:t>Este hallazgo se da c</w:t>
      </w:r>
      <w:r w:rsidRPr="5141EA98">
        <w:rPr>
          <w:rFonts w:ascii="Arial" w:eastAsia="Arial" w:hAnsi="Arial" w:cs="Arial"/>
          <w:sz w:val="24"/>
          <w:szCs w:val="24"/>
        </w:rPr>
        <w:t>on</w:t>
      </w:r>
      <w:r w:rsidR="00D974D3">
        <w:rPr>
          <w:rFonts w:ascii="Arial" w:eastAsia="Arial" w:hAnsi="Arial" w:cs="Arial"/>
          <w:sz w:val="24"/>
          <w:szCs w:val="24"/>
        </w:rPr>
        <w:t xml:space="preserve"> un</w:t>
      </w:r>
      <w:r w:rsidRPr="5141EA98">
        <w:rPr>
          <w:rFonts w:ascii="Arial" w:eastAsia="Arial" w:hAnsi="Arial" w:cs="Arial"/>
          <w:sz w:val="24"/>
          <w:szCs w:val="24"/>
        </w:rPr>
        <w:t xml:space="preserve"> bajo nivel de certeza de </w:t>
      </w:r>
      <w:r w:rsidR="00924097">
        <w:rPr>
          <w:rFonts w:ascii="Arial" w:eastAsia="Arial" w:hAnsi="Arial" w:cs="Arial"/>
          <w:sz w:val="24"/>
          <w:szCs w:val="24"/>
        </w:rPr>
        <w:t xml:space="preserve">la </w:t>
      </w:r>
      <w:r w:rsidRPr="5141EA98">
        <w:rPr>
          <w:rFonts w:ascii="Arial" w:eastAsia="Arial" w:hAnsi="Arial" w:cs="Arial"/>
          <w:sz w:val="24"/>
          <w:szCs w:val="24"/>
        </w:rPr>
        <w:t>evidencia (</w:t>
      </w:r>
      <w:r w:rsidRPr="003F073B">
        <w:rPr>
          <w:rFonts w:ascii="Arial" w:eastAsia="Arial" w:hAnsi="Arial" w:cs="Arial"/>
          <w:bCs/>
          <w:sz w:val="24"/>
          <w:szCs w:val="24"/>
        </w:rPr>
        <w:t>tabla 5</w:t>
      </w:r>
      <w:r w:rsidRPr="5141EA98">
        <w:rPr>
          <w:rFonts w:ascii="Arial" w:eastAsia="Arial" w:hAnsi="Arial" w:cs="Arial"/>
          <w:sz w:val="24"/>
          <w:szCs w:val="24"/>
        </w:rPr>
        <w:t>, ver anexo</w:t>
      </w:r>
      <w:r w:rsidR="0038598F">
        <w:rPr>
          <w:rFonts w:ascii="Arial" w:eastAsia="Arial" w:hAnsi="Arial" w:cs="Arial"/>
          <w:sz w:val="24"/>
          <w:szCs w:val="24"/>
        </w:rPr>
        <w:t xml:space="preserve"> 4</w:t>
      </w:r>
      <w:r w:rsidRPr="5141EA98">
        <w:rPr>
          <w:rFonts w:ascii="Arial" w:eastAsia="Arial" w:hAnsi="Arial" w:cs="Arial"/>
          <w:sz w:val="24"/>
          <w:szCs w:val="24"/>
        </w:rPr>
        <w:t xml:space="preserve">). </w:t>
      </w:r>
    </w:p>
    <w:p w14:paraId="065BDAE6" w14:textId="34C57591" w:rsidR="3FB69491" w:rsidRDefault="3FB69491" w:rsidP="72CB5F23">
      <w:pPr>
        <w:spacing w:line="240" w:lineRule="auto"/>
        <w:rPr>
          <w:rFonts w:ascii="Arial" w:eastAsia="Arial" w:hAnsi="Arial" w:cs="Arial"/>
          <w:b/>
          <w:bCs/>
          <w:sz w:val="24"/>
          <w:szCs w:val="24"/>
        </w:rPr>
      </w:pPr>
    </w:p>
    <w:p w14:paraId="4F1C175A" w14:textId="77777777" w:rsidR="00924097" w:rsidRDefault="00924097">
      <w:pPr>
        <w:rPr>
          <w:rFonts w:ascii="Arial" w:eastAsia="Arial" w:hAnsi="Arial" w:cs="Arial"/>
          <w:b/>
          <w:bCs/>
          <w:sz w:val="24"/>
          <w:szCs w:val="24"/>
        </w:rPr>
      </w:pPr>
      <w:r>
        <w:rPr>
          <w:rFonts w:ascii="Arial" w:eastAsia="Arial" w:hAnsi="Arial" w:cs="Arial"/>
          <w:b/>
          <w:bCs/>
          <w:sz w:val="24"/>
          <w:szCs w:val="24"/>
        </w:rPr>
        <w:br w:type="page"/>
      </w:r>
    </w:p>
    <w:p w14:paraId="0C77628C" w14:textId="3B327551" w:rsidR="00BA37E4" w:rsidRDefault="5141EA98" w:rsidP="538C4EBD">
      <w:pPr>
        <w:spacing w:line="240" w:lineRule="auto"/>
        <w:rPr>
          <w:rFonts w:ascii="Arial" w:eastAsia="Arial" w:hAnsi="Arial" w:cs="Arial"/>
          <w:sz w:val="24"/>
          <w:szCs w:val="24"/>
        </w:rPr>
      </w:pPr>
      <w:r w:rsidRPr="00336EE5">
        <w:rPr>
          <w:rFonts w:ascii="Arial" w:eastAsia="Arial" w:hAnsi="Arial" w:cs="Arial"/>
          <w:b/>
          <w:sz w:val="24"/>
          <w:szCs w:val="24"/>
        </w:rPr>
        <w:lastRenderedPageBreak/>
        <w:t xml:space="preserve">Figura </w:t>
      </w:r>
      <w:r w:rsidR="0007291B" w:rsidRPr="00336EE5">
        <w:rPr>
          <w:rFonts w:ascii="Arial" w:eastAsia="Arial" w:hAnsi="Arial" w:cs="Arial"/>
          <w:b/>
          <w:sz w:val="24"/>
          <w:szCs w:val="24"/>
        </w:rPr>
        <w:t>4</w:t>
      </w:r>
      <w:r w:rsidRPr="00336EE5">
        <w:rPr>
          <w:rFonts w:ascii="Arial" w:eastAsia="Arial" w:hAnsi="Arial" w:cs="Arial"/>
          <w:b/>
          <w:sz w:val="24"/>
          <w:szCs w:val="24"/>
        </w:rPr>
        <w:t>.</w:t>
      </w:r>
      <w:r w:rsidRPr="5141EA98">
        <w:rPr>
          <w:rFonts w:ascii="Arial" w:eastAsia="Arial" w:hAnsi="Arial" w:cs="Arial"/>
          <w:b/>
          <w:bCs/>
          <w:sz w:val="24"/>
          <w:szCs w:val="24"/>
        </w:rPr>
        <w:t xml:space="preserve"> </w:t>
      </w:r>
      <w:r w:rsidRPr="001118B9">
        <w:rPr>
          <w:rFonts w:ascii="Arial" w:eastAsia="Arial" w:hAnsi="Arial" w:cs="Arial"/>
          <w:i/>
          <w:iCs/>
          <w:sz w:val="24"/>
          <w:szCs w:val="24"/>
        </w:rPr>
        <w:t>Gráfico de bosque rifapentina/isoniazida vs isoniazida sola, desenlace TB activa en personas que viven con VIH</w:t>
      </w:r>
      <w:r w:rsidR="00921B30" w:rsidRPr="001118B9">
        <w:rPr>
          <w:rFonts w:ascii="Arial" w:eastAsia="Arial" w:hAnsi="Arial" w:cs="Arial"/>
          <w:i/>
          <w:iCs/>
          <w:sz w:val="24"/>
          <w:szCs w:val="24"/>
        </w:rPr>
        <w:t>.</w:t>
      </w:r>
      <w:r w:rsidR="00854950" w:rsidRPr="001118B9">
        <w:rPr>
          <w:rFonts w:ascii="Arial" w:eastAsia="Arial" w:hAnsi="Arial" w:cs="Arial"/>
          <w:i/>
          <w:iCs/>
          <w:sz w:val="24"/>
          <w:szCs w:val="24"/>
        </w:rPr>
        <w:t xml:space="preserve"> Ensayos clínicos aleatorizados</w:t>
      </w:r>
      <w:r w:rsidR="0045647F" w:rsidRPr="001118B9">
        <w:rPr>
          <w:rFonts w:ascii="Arial" w:eastAsia="Arial" w:hAnsi="Arial" w:cs="Arial"/>
          <w:i/>
          <w:iCs/>
          <w:sz w:val="24"/>
          <w:szCs w:val="24"/>
        </w:rPr>
        <w:t>.</w:t>
      </w:r>
    </w:p>
    <w:p w14:paraId="7E81EE5C" w14:textId="5827DDDE" w:rsidR="538C4EBD" w:rsidRDefault="00BA37E4" w:rsidP="538C4EBD">
      <w:pPr>
        <w:spacing w:line="240" w:lineRule="auto"/>
        <w:rPr>
          <w:rFonts w:ascii="Arial" w:eastAsia="Arial" w:hAnsi="Arial" w:cs="Arial"/>
          <w:b/>
          <w:bCs/>
          <w:sz w:val="24"/>
          <w:szCs w:val="24"/>
        </w:rPr>
      </w:pPr>
      <w:r>
        <w:rPr>
          <w:noProof/>
        </w:rPr>
        <w:drawing>
          <wp:inline distT="0" distB="0" distL="0" distR="0" wp14:anchorId="32D0185F" wp14:editId="04875DD8">
            <wp:extent cx="5943600" cy="1386984"/>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1386984"/>
                    </a:xfrm>
                    <a:prstGeom prst="rect">
                      <a:avLst/>
                    </a:prstGeom>
                  </pic:spPr>
                </pic:pic>
              </a:graphicData>
            </a:graphic>
          </wp:inline>
        </w:drawing>
      </w:r>
    </w:p>
    <w:p w14:paraId="7722BC65" w14:textId="77777777" w:rsidR="00BA37E4" w:rsidRDefault="00BA37E4" w:rsidP="5141EA98">
      <w:pPr>
        <w:spacing w:line="240" w:lineRule="auto"/>
        <w:rPr>
          <w:rFonts w:ascii="Arial" w:eastAsia="Arial" w:hAnsi="Arial" w:cs="Arial"/>
          <w:sz w:val="24"/>
          <w:szCs w:val="24"/>
        </w:rPr>
      </w:pPr>
    </w:p>
    <w:p w14:paraId="05BD4094" w14:textId="492AB24B" w:rsidR="00B82961" w:rsidRPr="00065D98" w:rsidRDefault="00833F73" w:rsidP="00BA6944">
      <w:pPr>
        <w:spacing w:after="0" w:line="360" w:lineRule="auto"/>
        <w:ind w:firstLine="680"/>
        <w:jc w:val="both"/>
        <w:rPr>
          <w:rFonts w:ascii="Arial" w:eastAsia="Arial" w:hAnsi="Arial" w:cs="Arial"/>
          <w:color w:val="FF0000"/>
          <w:sz w:val="24"/>
          <w:szCs w:val="24"/>
        </w:rPr>
      </w:pPr>
      <w:r w:rsidRPr="00081C8F">
        <w:rPr>
          <w:rFonts w:ascii="Arial" w:eastAsia="Arial" w:hAnsi="Arial" w:cs="Arial"/>
          <w:sz w:val="24"/>
          <w:szCs w:val="24"/>
        </w:rPr>
        <w:t xml:space="preserve">Como análisis post hoc se </w:t>
      </w:r>
      <w:r w:rsidR="000A00EC" w:rsidRPr="00081C8F">
        <w:rPr>
          <w:rFonts w:ascii="Arial" w:eastAsia="Arial" w:hAnsi="Arial" w:cs="Arial"/>
          <w:sz w:val="24"/>
          <w:szCs w:val="24"/>
        </w:rPr>
        <w:t xml:space="preserve">realizó </w:t>
      </w:r>
      <w:r w:rsidR="000A00EC">
        <w:rPr>
          <w:rFonts w:ascii="Arial" w:eastAsia="Arial" w:hAnsi="Arial" w:cs="Arial"/>
          <w:sz w:val="24"/>
          <w:szCs w:val="24"/>
        </w:rPr>
        <w:t>el</w:t>
      </w:r>
      <w:r w:rsidR="00BF0099">
        <w:rPr>
          <w:rFonts w:ascii="Arial" w:eastAsia="Arial" w:hAnsi="Arial" w:cs="Arial"/>
          <w:sz w:val="24"/>
          <w:szCs w:val="24"/>
        </w:rPr>
        <w:t xml:space="preserve"> </w:t>
      </w:r>
      <w:r w:rsidR="0038598F">
        <w:rPr>
          <w:rFonts w:ascii="Arial" w:eastAsia="Arial" w:hAnsi="Arial" w:cs="Arial"/>
          <w:sz w:val="24"/>
          <w:szCs w:val="24"/>
        </w:rPr>
        <w:t>meta</w:t>
      </w:r>
      <w:r w:rsidR="00BF0099">
        <w:rPr>
          <w:rFonts w:ascii="Arial" w:eastAsia="Arial" w:hAnsi="Arial" w:cs="Arial"/>
          <w:sz w:val="24"/>
          <w:szCs w:val="24"/>
        </w:rPr>
        <w:t xml:space="preserve">análisis </w:t>
      </w:r>
      <w:r w:rsidR="0038598F">
        <w:rPr>
          <w:rFonts w:ascii="Arial" w:eastAsia="Arial" w:hAnsi="Arial" w:cs="Arial"/>
          <w:sz w:val="24"/>
          <w:szCs w:val="24"/>
        </w:rPr>
        <w:t xml:space="preserve">por </w:t>
      </w:r>
      <w:r w:rsidR="00BF0099">
        <w:rPr>
          <w:rFonts w:ascii="Arial" w:eastAsia="Arial" w:hAnsi="Arial" w:cs="Arial"/>
          <w:sz w:val="24"/>
          <w:szCs w:val="24"/>
        </w:rPr>
        <w:t xml:space="preserve">subgrupos </w:t>
      </w:r>
      <w:r w:rsidR="0038598F">
        <w:rPr>
          <w:rFonts w:ascii="Arial" w:eastAsia="Arial" w:hAnsi="Arial" w:cs="Arial"/>
          <w:sz w:val="24"/>
          <w:szCs w:val="24"/>
        </w:rPr>
        <w:t>según</w:t>
      </w:r>
      <w:r w:rsidR="0038598F" w:rsidRPr="5141EA98">
        <w:rPr>
          <w:rFonts w:ascii="Arial" w:eastAsia="Arial" w:hAnsi="Arial" w:cs="Arial"/>
          <w:sz w:val="24"/>
          <w:szCs w:val="24"/>
        </w:rPr>
        <w:t xml:space="preserve"> </w:t>
      </w:r>
      <w:r w:rsidR="5141EA98" w:rsidRPr="5141EA98">
        <w:rPr>
          <w:rFonts w:ascii="Arial" w:eastAsia="Arial" w:hAnsi="Arial" w:cs="Arial"/>
          <w:sz w:val="24"/>
          <w:szCs w:val="24"/>
        </w:rPr>
        <w:t xml:space="preserve">duración de la intervención (rifapentina/isoniazida) de 3 meses y 1 mes, </w:t>
      </w:r>
      <w:r w:rsidR="008E0CF3">
        <w:rPr>
          <w:rFonts w:ascii="Arial" w:eastAsia="Arial" w:hAnsi="Arial" w:cs="Arial"/>
          <w:sz w:val="24"/>
          <w:szCs w:val="24"/>
        </w:rPr>
        <w:t xml:space="preserve">no </w:t>
      </w:r>
      <w:r w:rsidR="0045313D">
        <w:rPr>
          <w:rFonts w:ascii="Arial" w:eastAsia="Arial" w:hAnsi="Arial" w:cs="Arial"/>
          <w:sz w:val="24"/>
          <w:szCs w:val="24"/>
        </w:rPr>
        <w:t>se encontr</w:t>
      </w:r>
      <w:r w:rsidR="00921B30">
        <w:rPr>
          <w:rFonts w:ascii="Arial" w:eastAsia="Arial" w:hAnsi="Arial" w:cs="Arial"/>
          <w:sz w:val="24"/>
          <w:szCs w:val="24"/>
        </w:rPr>
        <w:t>aron</w:t>
      </w:r>
      <w:r w:rsidR="0045313D">
        <w:rPr>
          <w:rFonts w:ascii="Arial" w:eastAsia="Arial" w:hAnsi="Arial" w:cs="Arial"/>
          <w:sz w:val="24"/>
          <w:szCs w:val="24"/>
        </w:rPr>
        <w:t xml:space="preserve"> </w:t>
      </w:r>
      <w:r w:rsidR="008E0CF3">
        <w:rPr>
          <w:rFonts w:ascii="Arial" w:eastAsia="Arial" w:hAnsi="Arial" w:cs="Arial"/>
          <w:sz w:val="24"/>
          <w:szCs w:val="24"/>
        </w:rPr>
        <w:t xml:space="preserve">diferencias importantes con respecto al estimado combinado obtenido con todos los estudios (figura </w:t>
      </w:r>
      <w:r w:rsidR="0007291B">
        <w:rPr>
          <w:rFonts w:ascii="Arial" w:eastAsia="Arial" w:hAnsi="Arial" w:cs="Arial"/>
          <w:sz w:val="24"/>
          <w:szCs w:val="24"/>
        </w:rPr>
        <w:t>5</w:t>
      </w:r>
      <w:r w:rsidR="008E0CF3">
        <w:rPr>
          <w:rFonts w:ascii="Arial" w:eastAsia="Arial" w:hAnsi="Arial" w:cs="Arial"/>
          <w:sz w:val="24"/>
          <w:szCs w:val="24"/>
        </w:rPr>
        <w:t xml:space="preserve">). </w:t>
      </w:r>
      <w:r w:rsidR="00854950" w:rsidRPr="00081C8F">
        <w:rPr>
          <w:rFonts w:ascii="Arial" w:eastAsia="Arial" w:hAnsi="Arial" w:cs="Arial"/>
          <w:sz w:val="24"/>
          <w:szCs w:val="24"/>
        </w:rPr>
        <w:t>La heterogeneidad d</w:t>
      </w:r>
      <w:r w:rsidR="0045647F" w:rsidRPr="00081C8F">
        <w:rPr>
          <w:rFonts w:ascii="Arial" w:eastAsia="Arial" w:hAnsi="Arial" w:cs="Arial"/>
          <w:sz w:val="24"/>
          <w:szCs w:val="24"/>
        </w:rPr>
        <w:t>e los estudios con intervención</w:t>
      </w:r>
      <w:r w:rsidR="00854950" w:rsidRPr="00081C8F">
        <w:rPr>
          <w:rFonts w:ascii="Arial" w:eastAsia="Arial" w:hAnsi="Arial" w:cs="Arial"/>
          <w:sz w:val="24"/>
          <w:szCs w:val="24"/>
        </w:rPr>
        <w:t xml:space="preserve"> de 3 meses de duración fue de 56%</w:t>
      </w:r>
      <w:r w:rsidR="0045647F" w:rsidRPr="00081C8F">
        <w:rPr>
          <w:rFonts w:ascii="Arial" w:eastAsia="Arial" w:hAnsi="Arial" w:cs="Arial"/>
          <w:sz w:val="24"/>
          <w:szCs w:val="24"/>
        </w:rPr>
        <w:t>.</w:t>
      </w:r>
    </w:p>
    <w:p w14:paraId="0FFA5F7A" w14:textId="4AD72BF9" w:rsidR="7B24CC15" w:rsidRDefault="7B24CC15" w:rsidP="553A6BE6">
      <w:pPr>
        <w:spacing w:after="0" w:line="360" w:lineRule="auto"/>
        <w:jc w:val="both"/>
        <w:rPr>
          <w:rFonts w:ascii="Arial" w:eastAsia="Arial" w:hAnsi="Arial" w:cs="Arial"/>
          <w:sz w:val="24"/>
          <w:szCs w:val="24"/>
        </w:rPr>
      </w:pPr>
    </w:p>
    <w:p w14:paraId="3BBEC76C" w14:textId="77777777" w:rsidR="00BA6944" w:rsidRDefault="00BA6944" w:rsidP="553A6BE6">
      <w:pPr>
        <w:spacing w:after="0" w:line="360" w:lineRule="auto"/>
        <w:jc w:val="both"/>
        <w:rPr>
          <w:rFonts w:ascii="Arial" w:eastAsia="Arial" w:hAnsi="Arial" w:cs="Arial"/>
          <w:sz w:val="24"/>
          <w:szCs w:val="24"/>
        </w:rPr>
      </w:pPr>
    </w:p>
    <w:p w14:paraId="0BB25AC8" w14:textId="151EFA1C" w:rsidR="538C4EBD" w:rsidRDefault="5141EA98" w:rsidP="6FF25826">
      <w:pPr>
        <w:spacing w:after="0" w:line="240" w:lineRule="auto"/>
        <w:jc w:val="both"/>
        <w:rPr>
          <w:rFonts w:ascii="Arial" w:eastAsia="Arial" w:hAnsi="Arial" w:cs="Arial"/>
          <w:i/>
          <w:iCs/>
          <w:sz w:val="24"/>
          <w:szCs w:val="24"/>
        </w:rPr>
      </w:pPr>
      <w:r w:rsidRPr="00336EE5">
        <w:rPr>
          <w:rFonts w:ascii="Arial" w:eastAsia="Arial" w:hAnsi="Arial" w:cs="Arial"/>
          <w:b/>
          <w:sz w:val="24"/>
          <w:szCs w:val="24"/>
        </w:rPr>
        <w:t xml:space="preserve">Figura </w:t>
      </w:r>
      <w:r w:rsidR="0007291B" w:rsidRPr="00336EE5">
        <w:rPr>
          <w:rFonts w:ascii="Arial" w:eastAsia="Arial" w:hAnsi="Arial" w:cs="Arial"/>
          <w:b/>
          <w:sz w:val="24"/>
          <w:szCs w:val="24"/>
        </w:rPr>
        <w:t>5</w:t>
      </w:r>
      <w:r w:rsidRPr="00013BBC">
        <w:rPr>
          <w:rFonts w:ascii="Arial" w:eastAsia="Arial" w:hAnsi="Arial" w:cs="Arial"/>
          <w:b/>
          <w:sz w:val="24"/>
          <w:szCs w:val="24"/>
        </w:rPr>
        <w:t>.</w:t>
      </w:r>
      <w:r w:rsidRPr="5141EA98">
        <w:rPr>
          <w:rFonts w:ascii="Arial" w:eastAsia="Arial" w:hAnsi="Arial" w:cs="Arial"/>
          <w:b/>
          <w:bCs/>
          <w:sz w:val="24"/>
          <w:szCs w:val="24"/>
        </w:rPr>
        <w:t xml:space="preserve"> </w:t>
      </w:r>
      <w:r w:rsidRPr="001118B9">
        <w:rPr>
          <w:rFonts w:ascii="Arial" w:eastAsia="Arial" w:hAnsi="Arial" w:cs="Arial"/>
          <w:i/>
          <w:iCs/>
          <w:sz w:val="24"/>
          <w:szCs w:val="24"/>
        </w:rPr>
        <w:t>Gráfico de bosque por subgrupos según duración de intervención: rifapentina/isoniazida vs isoniazida sola, desenlace TB activa en personas que viven con VIH</w:t>
      </w:r>
      <w:r w:rsidR="00921B30" w:rsidRPr="001118B9">
        <w:rPr>
          <w:rFonts w:ascii="Arial" w:eastAsia="Arial" w:hAnsi="Arial" w:cs="Arial"/>
          <w:i/>
          <w:iCs/>
          <w:sz w:val="24"/>
          <w:szCs w:val="24"/>
        </w:rPr>
        <w:t>.</w:t>
      </w:r>
      <w:r w:rsidR="0045647F" w:rsidRPr="001118B9">
        <w:rPr>
          <w:rFonts w:ascii="Arial" w:eastAsia="Arial" w:hAnsi="Arial" w:cs="Arial"/>
          <w:i/>
          <w:iCs/>
          <w:sz w:val="24"/>
          <w:szCs w:val="24"/>
        </w:rPr>
        <w:t xml:space="preserve"> Ensayos clínicos aleatorizados.</w:t>
      </w:r>
    </w:p>
    <w:p w14:paraId="606DC129" w14:textId="77777777" w:rsidR="001118B9" w:rsidRDefault="001118B9" w:rsidP="6FF25826">
      <w:pPr>
        <w:spacing w:after="0" w:line="240" w:lineRule="auto"/>
        <w:jc w:val="both"/>
        <w:rPr>
          <w:rFonts w:ascii="Arial" w:eastAsia="Arial" w:hAnsi="Arial" w:cs="Arial"/>
          <w:b/>
          <w:bCs/>
          <w:sz w:val="24"/>
          <w:szCs w:val="24"/>
        </w:rPr>
      </w:pPr>
    </w:p>
    <w:p w14:paraId="258B69E7" w14:textId="53CFA716" w:rsidR="538C4EBD" w:rsidRDefault="538C4EBD" w:rsidP="5141EA98">
      <w:pPr>
        <w:spacing w:line="240" w:lineRule="auto"/>
        <w:rPr>
          <w:rFonts w:ascii="Arial" w:eastAsia="Arial" w:hAnsi="Arial" w:cs="Arial"/>
          <w:sz w:val="24"/>
          <w:szCs w:val="24"/>
        </w:rPr>
      </w:pPr>
      <w:r>
        <w:rPr>
          <w:noProof/>
        </w:rPr>
        <w:drawing>
          <wp:inline distT="0" distB="0" distL="0" distR="0" wp14:anchorId="608888E7" wp14:editId="2E8C73C4">
            <wp:extent cx="6048376" cy="2835176"/>
            <wp:effectExtent l="0" t="0" r="0" b="0"/>
            <wp:docPr id="1941748643" name="Imagen 194174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048376" cy="2835176"/>
                    </a:xfrm>
                    <a:prstGeom prst="rect">
                      <a:avLst/>
                    </a:prstGeom>
                  </pic:spPr>
                </pic:pic>
              </a:graphicData>
            </a:graphic>
          </wp:inline>
        </w:drawing>
      </w:r>
    </w:p>
    <w:p w14:paraId="7531BB24" w14:textId="082FF0D7" w:rsidR="0069138C" w:rsidRDefault="0069138C" w:rsidP="13CEF193">
      <w:pPr>
        <w:spacing w:line="240" w:lineRule="auto"/>
        <w:rPr>
          <w:rFonts w:ascii="Arial" w:eastAsia="Arial" w:hAnsi="Arial" w:cs="Arial"/>
          <w:b/>
          <w:bCs/>
          <w:sz w:val="24"/>
          <w:szCs w:val="24"/>
        </w:rPr>
      </w:pPr>
    </w:p>
    <w:p w14:paraId="323723C9" w14:textId="0864B6A5" w:rsidR="00BA37E4" w:rsidRDefault="00BA37E4" w:rsidP="13CEF193">
      <w:pPr>
        <w:spacing w:line="240" w:lineRule="auto"/>
        <w:rPr>
          <w:rFonts w:ascii="Arial" w:eastAsia="Arial" w:hAnsi="Arial" w:cs="Arial"/>
          <w:b/>
          <w:bCs/>
          <w:sz w:val="24"/>
          <w:szCs w:val="24"/>
        </w:rPr>
      </w:pPr>
    </w:p>
    <w:p w14:paraId="2ABF8E0D" w14:textId="2F5C9CD1" w:rsidR="2B2F580F" w:rsidRDefault="5141EA98" w:rsidP="00720DAE">
      <w:pPr>
        <w:pStyle w:val="Ttulo3"/>
        <w:rPr>
          <w:i/>
          <w:iCs/>
        </w:rPr>
      </w:pPr>
      <w:bookmarkStart w:id="21" w:name="_Toc85474282"/>
      <w:r w:rsidRPr="00720DAE">
        <w:rPr>
          <w:i/>
          <w:iCs/>
        </w:rPr>
        <w:lastRenderedPageBreak/>
        <w:t>Hepatotoxicidad ≥ grado 3</w:t>
      </w:r>
      <w:bookmarkEnd w:id="21"/>
      <w:r w:rsidRPr="00720DAE">
        <w:rPr>
          <w:i/>
          <w:iCs/>
        </w:rPr>
        <w:t xml:space="preserve"> </w:t>
      </w:r>
    </w:p>
    <w:p w14:paraId="0EF8B97F" w14:textId="77777777" w:rsidR="00BA6944" w:rsidRPr="00BA6944" w:rsidRDefault="00BA6944" w:rsidP="00BA6944"/>
    <w:p w14:paraId="66FB2677" w14:textId="2DC9AA8B" w:rsidR="2B2F580F" w:rsidRDefault="5141EA98" w:rsidP="00BA6944">
      <w:pPr>
        <w:spacing w:after="0" w:line="360" w:lineRule="auto"/>
        <w:ind w:firstLine="680"/>
        <w:jc w:val="both"/>
        <w:rPr>
          <w:rFonts w:ascii="Arial" w:eastAsia="Arial" w:hAnsi="Arial" w:cs="Arial"/>
          <w:sz w:val="24"/>
          <w:szCs w:val="24"/>
        </w:rPr>
      </w:pPr>
      <w:r w:rsidRPr="00081C8F">
        <w:rPr>
          <w:rFonts w:ascii="Arial" w:eastAsia="Arial" w:hAnsi="Arial" w:cs="Arial"/>
          <w:sz w:val="24"/>
          <w:szCs w:val="24"/>
        </w:rPr>
        <w:t xml:space="preserve">Para este desenlace solo dos </w:t>
      </w:r>
      <w:r w:rsidR="008E0CF3" w:rsidRPr="00081C8F">
        <w:rPr>
          <w:rFonts w:ascii="Arial" w:eastAsia="Arial" w:hAnsi="Arial" w:cs="Arial"/>
          <w:sz w:val="24"/>
          <w:szCs w:val="24"/>
        </w:rPr>
        <w:t xml:space="preserve">ECA </w:t>
      </w:r>
      <w:r w:rsidRPr="00081C8F">
        <w:rPr>
          <w:rFonts w:ascii="Arial" w:eastAsia="Arial" w:hAnsi="Arial" w:cs="Arial"/>
          <w:sz w:val="24"/>
          <w:szCs w:val="24"/>
        </w:rPr>
        <w:t xml:space="preserve">con personas que viven con VIH </w:t>
      </w:r>
      <w:r w:rsidR="008E0CF3" w:rsidRPr="00081C8F">
        <w:rPr>
          <w:rFonts w:ascii="Arial" w:eastAsia="Arial" w:hAnsi="Arial" w:cs="Arial"/>
          <w:sz w:val="24"/>
          <w:szCs w:val="24"/>
        </w:rPr>
        <w:t>re</w:t>
      </w:r>
      <w:r w:rsidRPr="00081C8F">
        <w:rPr>
          <w:rFonts w:ascii="Arial" w:eastAsia="Arial" w:hAnsi="Arial" w:cs="Arial"/>
          <w:sz w:val="24"/>
          <w:szCs w:val="24"/>
        </w:rPr>
        <w:t>portaron datos para realizar el metaanálisis</w:t>
      </w:r>
      <w:r w:rsidRPr="5141EA98">
        <w:rPr>
          <w:rFonts w:ascii="Arial" w:eastAsia="Arial" w:hAnsi="Arial" w:cs="Arial"/>
          <w:sz w:val="24"/>
          <w:szCs w:val="24"/>
        </w:rPr>
        <w:t xml:space="preserve"> (</w:t>
      </w:r>
      <w:r w:rsidRPr="003F073B">
        <w:rPr>
          <w:rFonts w:ascii="Arial" w:eastAsia="Arial" w:hAnsi="Arial" w:cs="Arial"/>
          <w:bCs/>
          <w:sz w:val="24"/>
          <w:szCs w:val="24"/>
        </w:rPr>
        <w:t xml:space="preserve">figura </w:t>
      </w:r>
      <w:r w:rsidR="0007291B">
        <w:rPr>
          <w:rFonts w:ascii="Arial" w:eastAsia="Arial" w:hAnsi="Arial" w:cs="Arial"/>
          <w:bCs/>
          <w:sz w:val="24"/>
          <w:szCs w:val="24"/>
        </w:rPr>
        <w:t>6</w:t>
      </w:r>
      <w:r w:rsidRPr="5141EA98">
        <w:rPr>
          <w:rFonts w:ascii="Arial" w:eastAsia="Arial" w:hAnsi="Arial" w:cs="Arial"/>
          <w:sz w:val="24"/>
          <w:szCs w:val="24"/>
        </w:rPr>
        <w:t>), encontrando menor riesgo de hepatotoxicidad ≥ grado 3</w:t>
      </w:r>
      <w:r w:rsidRPr="5141EA98">
        <w:rPr>
          <w:rFonts w:ascii="Arial" w:eastAsia="Arial" w:hAnsi="Arial" w:cs="Arial"/>
          <w:b/>
          <w:bCs/>
          <w:sz w:val="24"/>
          <w:szCs w:val="24"/>
        </w:rPr>
        <w:t xml:space="preserve"> </w:t>
      </w:r>
      <w:r w:rsidR="00A549BA">
        <w:rPr>
          <w:rFonts w:ascii="Arial" w:eastAsia="Arial" w:hAnsi="Arial" w:cs="Arial"/>
          <w:sz w:val="24"/>
          <w:szCs w:val="24"/>
        </w:rPr>
        <w:t>al usar</w:t>
      </w:r>
      <w:r w:rsidRPr="5141EA98">
        <w:rPr>
          <w:rFonts w:ascii="Arial" w:eastAsia="Arial" w:hAnsi="Arial" w:cs="Arial"/>
          <w:sz w:val="24"/>
          <w:szCs w:val="24"/>
        </w:rPr>
        <w:t xml:space="preserve"> rifapentina/isoniazida (RR: 0.26, IC95%=0.12-0.60, I</w:t>
      </w:r>
      <w:r w:rsidRPr="5141EA98">
        <w:rPr>
          <w:rFonts w:ascii="Arial" w:eastAsia="Arial" w:hAnsi="Arial" w:cs="Arial"/>
          <w:sz w:val="24"/>
          <w:szCs w:val="24"/>
          <w:vertAlign w:val="superscript"/>
        </w:rPr>
        <w:t>2</w:t>
      </w:r>
      <w:r w:rsidRPr="5141EA98">
        <w:rPr>
          <w:rFonts w:ascii="Arial" w:eastAsia="Arial" w:hAnsi="Arial" w:cs="Arial"/>
          <w:sz w:val="24"/>
          <w:szCs w:val="24"/>
        </w:rPr>
        <w:t xml:space="preserve">= 0%). </w:t>
      </w:r>
      <w:r w:rsidR="002A66DA">
        <w:rPr>
          <w:rFonts w:ascii="Arial" w:eastAsia="Arial" w:hAnsi="Arial" w:cs="Arial"/>
          <w:sz w:val="24"/>
          <w:szCs w:val="24"/>
        </w:rPr>
        <w:t>Esto c</w:t>
      </w:r>
      <w:r w:rsidRPr="5141EA98">
        <w:rPr>
          <w:rFonts w:ascii="Arial" w:eastAsia="Arial" w:hAnsi="Arial" w:cs="Arial"/>
          <w:sz w:val="24"/>
          <w:szCs w:val="24"/>
        </w:rPr>
        <w:t>on bajo nivel de certeza de la evidencia (</w:t>
      </w:r>
      <w:r w:rsidRPr="003F073B">
        <w:rPr>
          <w:rFonts w:ascii="Arial" w:eastAsia="Arial" w:hAnsi="Arial" w:cs="Arial"/>
          <w:bCs/>
          <w:sz w:val="24"/>
          <w:szCs w:val="24"/>
        </w:rPr>
        <w:t>tabla 5</w:t>
      </w:r>
      <w:r w:rsidRPr="00486EF8">
        <w:rPr>
          <w:rFonts w:ascii="Arial" w:eastAsia="Arial" w:hAnsi="Arial" w:cs="Arial"/>
          <w:sz w:val="24"/>
          <w:szCs w:val="24"/>
        </w:rPr>
        <w:t>,</w:t>
      </w:r>
      <w:r w:rsidRPr="5141EA98">
        <w:rPr>
          <w:rFonts w:ascii="Arial" w:eastAsia="Arial" w:hAnsi="Arial" w:cs="Arial"/>
          <w:sz w:val="24"/>
          <w:szCs w:val="24"/>
        </w:rPr>
        <w:t xml:space="preserve"> ver anexo</w:t>
      </w:r>
      <w:r w:rsidR="0007291B">
        <w:rPr>
          <w:rFonts w:ascii="Arial" w:eastAsia="Arial" w:hAnsi="Arial" w:cs="Arial"/>
          <w:sz w:val="24"/>
          <w:szCs w:val="24"/>
        </w:rPr>
        <w:t xml:space="preserve"> 4</w:t>
      </w:r>
      <w:r w:rsidRPr="5141EA98">
        <w:rPr>
          <w:rFonts w:ascii="Arial" w:eastAsia="Arial" w:hAnsi="Arial" w:cs="Arial"/>
          <w:sz w:val="24"/>
          <w:szCs w:val="24"/>
        </w:rPr>
        <w:t xml:space="preserve">). Los estudios de </w:t>
      </w:r>
      <w:r w:rsidR="00E0130A">
        <w:rPr>
          <w:rFonts w:ascii="Arial" w:eastAsia="Arial" w:hAnsi="Arial" w:cs="Arial"/>
          <w:sz w:val="24"/>
          <w:szCs w:val="24"/>
        </w:rPr>
        <w:t>cohortes</w:t>
      </w:r>
      <w:r w:rsidRPr="5141EA98">
        <w:rPr>
          <w:rFonts w:ascii="Arial" w:eastAsia="Arial" w:hAnsi="Arial" w:cs="Arial"/>
          <w:sz w:val="24"/>
          <w:szCs w:val="24"/>
        </w:rPr>
        <w:t xml:space="preserve"> no proporcionaron datos suficientes para realizar el metaanálisis de este desenlace.</w:t>
      </w:r>
    </w:p>
    <w:p w14:paraId="2CA05E81" w14:textId="77777777" w:rsidR="00BA6944" w:rsidRDefault="00BA6944" w:rsidP="00BA6944">
      <w:pPr>
        <w:spacing w:after="0" w:line="360" w:lineRule="auto"/>
        <w:ind w:firstLine="680"/>
        <w:jc w:val="both"/>
        <w:rPr>
          <w:rFonts w:ascii="Arial" w:eastAsia="Arial" w:hAnsi="Arial" w:cs="Arial"/>
          <w:sz w:val="24"/>
          <w:szCs w:val="24"/>
        </w:rPr>
      </w:pPr>
    </w:p>
    <w:p w14:paraId="5BEA0CAB" w14:textId="77777777" w:rsidR="00BA6944" w:rsidRDefault="00BA6944" w:rsidP="13CEF193">
      <w:pPr>
        <w:spacing w:after="0" w:line="360" w:lineRule="auto"/>
        <w:jc w:val="both"/>
        <w:rPr>
          <w:rFonts w:ascii="Arial" w:eastAsia="Arial" w:hAnsi="Arial" w:cs="Arial"/>
          <w:sz w:val="24"/>
          <w:szCs w:val="24"/>
        </w:rPr>
      </w:pPr>
    </w:p>
    <w:p w14:paraId="43F3CDF4" w14:textId="1F564F33" w:rsidR="2B2F580F" w:rsidRDefault="5141EA98" w:rsidP="279C8D59">
      <w:pPr>
        <w:spacing w:line="240" w:lineRule="auto"/>
        <w:jc w:val="both"/>
        <w:rPr>
          <w:rFonts w:ascii="Arial" w:eastAsia="Arial" w:hAnsi="Arial" w:cs="Arial"/>
          <w:i/>
          <w:iCs/>
          <w:sz w:val="24"/>
          <w:szCs w:val="24"/>
        </w:rPr>
      </w:pPr>
      <w:r w:rsidRPr="00336EE5">
        <w:rPr>
          <w:rFonts w:ascii="Arial" w:eastAsia="Arial" w:hAnsi="Arial" w:cs="Arial"/>
          <w:b/>
          <w:sz w:val="24"/>
          <w:szCs w:val="24"/>
        </w:rPr>
        <w:t xml:space="preserve">Figura </w:t>
      </w:r>
      <w:r w:rsidR="0007291B" w:rsidRPr="00336EE5">
        <w:rPr>
          <w:rFonts w:ascii="Arial" w:eastAsia="Arial" w:hAnsi="Arial" w:cs="Arial"/>
          <w:b/>
          <w:sz w:val="24"/>
          <w:szCs w:val="24"/>
        </w:rPr>
        <w:t>6</w:t>
      </w:r>
      <w:r w:rsidRPr="00336EE5">
        <w:rPr>
          <w:rFonts w:ascii="Arial" w:eastAsia="Arial" w:hAnsi="Arial" w:cs="Arial"/>
          <w:b/>
          <w:sz w:val="24"/>
          <w:szCs w:val="24"/>
        </w:rPr>
        <w:t>.</w:t>
      </w:r>
      <w:r w:rsidRPr="5141EA98">
        <w:rPr>
          <w:rFonts w:ascii="Arial" w:eastAsia="Arial" w:hAnsi="Arial" w:cs="Arial"/>
          <w:b/>
          <w:bCs/>
          <w:sz w:val="24"/>
          <w:szCs w:val="24"/>
        </w:rPr>
        <w:t xml:space="preserve"> </w:t>
      </w:r>
      <w:r w:rsidRPr="001118B9">
        <w:rPr>
          <w:rFonts w:ascii="Arial" w:eastAsia="Arial" w:hAnsi="Arial" w:cs="Arial"/>
          <w:i/>
          <w:iCs/>
          <w:sz w:val="24"/>
          <w:szCs w:val="24"/>
        </w:rPr>
        <w:t>Gráfico de bosque: rifapentina/isoniazida vs isoniazida sola, desenlace hepatotoxicidad ≥ grado 3 en personas que viven con VIH</w:t>
      </w:r>
      <w:r w:rsidR="0045647F" w:rsidRPr="001118B9">
        <w:rPr>
          <w:rFonts w:ascii="Arial" w:eastAsia="Arial" w:hAnsi="Arial" w:cs="Arial"/>
          <w:i/>
          <w:iCs/>
          <w:sz w:val="24"/>
          <w:szCs w:val="24"/>
        </w:rPr>
        <w:t>. Ensayos clínicos aleatorizados.</w:t>
      </w:r>
    </w:p>
    <w:p w14:paraId="4D290891" w14:textId="77777777" w:rsidR="00BA6944" w:rsidRDefault="00BA6944" w:rsidP="279C8D59">
      <w:pPr>
        <w:spacing w:line="240" w:lineRule="auto"/>
        <w:jc w:val="both"/>
        <w:rPr>
          <w:rFonts w:ascii="Arial" w:eastAsia="Arial" w:hAnsi="Arial" w:cs="Arial"/>
          <w:i/>
          <w:iCs/>
          <w:sz w:val="24"/>
          <w:szCs w:val="24"/>
        </w:rPr>
      </w:pPr>
    </w:p>
    <w:p w14:paraId="26F765C8" w14:textId="2A731471" w:rsidR="11C625E5" w:rsidRDefault="11C625E5" w:rsidP="5141EA98">
      <w:pPr>
        <w:spacing w:line="240" w:lineRule="auto"/>
        <w:rPr>
          <w:rFonts w:ascii="Arial" w:eastAsia="Arial" w:hAnsi="Arial" w:cs="Arial"/>
          <w:sz w:val="24"/>
          <w:szCs w:val="24"/>
        </w:rPr>
      </w:pPr>
      <w:r>
        <w:rPr>
          <w:noProof/>
        </w:rPr>
        <w:drawing>
          <wp:inline distT="0" distB="0" distL="0" distR="0" wp14:anchorId="0993AA3C" wp14:editId="24CB6199">
            <wp:extent cx="6097370" cy="1295691"/>
            <wp:effectExtent l="0" t="0" r="0" b="0"/>
            <wp:docPr id="1882432480" name="Imagen 188243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97370" cy="1295691"/>
                    </a:xfrm>
                    <a:prstGeom prst="rect">
                      <a:avLst/>
                    </a:prstGeom>
                  </pic:spPr>
                </pic:pic>
              </a:graphicData>
            </a:graphic>
          </wp:inline>
        </w:drawing>
      </w:r>
    </w:p>
    <w:p w14:paraId="355AB504" w14:textId="3A3A8B3D" w:rsidR="00BA6944" w:rsidRDefault="00BA6944" w:rsidP="5141EA98">
      <w:pPr>
        <w:spacing w:line="240" w:lineRule="auto"/>
        <w:rPr>
          <w:rFonts w:ascii="Arial" w:eastAsia="Arial" w:hAnsi="Arial" w:cs="Arial"/>
          <w:sz w:val="24"/>
          <w:szCs w:val="24"/>
        </w:rPr>
      </w:pPr>
    </w:p>
    <w:p w14:paraId="72FC7C2C" w14:textId="77777777" w:rsidR="00BA6944" w:rsidRDefault="00BA6944" w:rsidP="5141EA98">
      <w:pPr>
        <w:spacing w:line="240" w:lineRule="auto"/>
        <w:rPr>
          <w:rFonts w:ascii="Arial" w:eastAsia="Arial" w:hAnsi="Arial" w:cs="Arial"/>
          <w:sz w:val="24"/>
          <w:szCs w:val="24"/>
        </w:rPr>
      </w:pPr>
    </w:p>
    <w:p w14:paraId="0C605B93" w14:textId="73DF3185" w:rsidR="13CEF193" w:rsidRDefault="5141EA98" w:rsidP="00720DAE">
      <w:pPr>
        <w:pStyle w:val="Ttulo3"/>
        <w:rPr>
          <w:i/>
          <w:iCs/>
          <w:lang w:val="es"/>
        </w:rPr>
      </w:pPr>
      <w:bookmarkStart w:id="22" w:name="_Toc85474283"/>
      <w:r w:rsidRPr="00720DAE">
        <w:rPr>
          <w:i/>
          <w:iCs/>
          <w:lang w:val="es"/>
        </w:rPr>
        <w:t>Cumplimiento del tratamiento</w:t>
      </w:r>
      <w:bookmarkEnd w:id="22"/>
      <w:r w:rsidRPr="00720DAE">
        <w:rPr>
          <w:i/>
          <w:iCs/>
          <w:lang w:val="es"/>
        </w:rPr>
        <w:t xml:space="preserve"> </w:t>
      </w:r>
    </w:p>
    <w:p w14:paraId="547BA557" w14:textId="77777777" w:rsidR="00BA6944" w:rsidRPr="00BA6944" w:rsidRDefault="00BA6944" w:rsidP="00BA6944">
      <w:pPr>
        <w:rPr>
          <w:lang w:val="es"/>
        </w:rPr>
      </w:pPr>
    </w:p>
    <w:p w14:paraId="7DD26E00" w14:textId="5B349C18" w:rsidR="00803D17" w:rsidRDefault="00803D17" w:rsidP="00BA6944">
      <w:pPr>
        <w:spacing w:after="0" w:line="360" w:lineRule="auto"/>
        <w:ind w:firstLine="680"/>
        <w:jc w:val="both"/>
        <w:rPr>
          <w:rFonts w:ascii="Arial" w:eastAsia="Arial" w:hAnsi="Arial" w:cs="Arial"/>
          <w:color w:val="000000" w:themeColor="text1"/>
          <w:sz w:val="24"/>
          <w:szCs w:val="24"/>
        </w:rPr>
      </w:pPr>
      <w:r w:rsidRPr="00081C8F">
        <w:rPr>
          <w:rFonts w:ascii="Arial" w:eastAsia="Arial" w:hAnsi="Arial" w:cs="Arial"/>
          <w:color w:val="000000" w:themeColor="text1"/>
          <w:sz w:val="24"/>
          <w:szCs w:val="24"/>
          <w:lang w:val="es"/>
        </w:rPr>
        <w:t>De los tres ECA, solo dos estudios evaluaron el cumplimiento del tratamiento de la ILTB en personas que viven con VIH</w:t>
      </w:r>
      <w:r w:rsidRPr="00803D17">
        <w:rPr>
          <w:rFonts w:ascii="Arial" w:eastAsia="Arial" w:hAnsi="Arial" w:cs="Arial"/>
          <w:color w:val="000000" w:themeColor="text1"/>
          <w:sz w:val="24"/>
          <w:szCs w:val="24"/>
          <w:lang w:val="es"/>
        </w:rPr>
        <w:t xml:space="preserve"> (</w:t>
      </w:r>
      <w:r w:rsidRPr="00803D17">
        <w:rPr>
          <w:rFonts w:ascii="Arial" w:eastAsia="Arial" w:hAnsi="Arial" w:cs="Arial"/>
          <w:bCs/>
          <w:color w:val="000000" w:themeColor="text1"/>
          <w:sz w:val="24"/>
          <w:szCs w:val="24"/>
          <w:lang w:val="es"/>
        </w:rPr>
        <w:t xml:space="preserve">figura </w:t>
      </w:r>
      <w:r w:rsidR="0007291B">
        <w:rPr>
          <w:rFonts w:ascii="Arial" w:eastAsia="Arial" w:hAnsi="Arial" w:cs="Arial"/>
          <w:bCs/>
          <w:color w:val="000000" w:themeColor="text1"/>
          <w:sz w:val="24"/>
          <w:szCs w:val="24"/>
          <w:lang w:val="es"/>
        </w:rPr>
        <w:t>7</w:t>
      </w:r>
      <w:r w:rsidRPr="00803D17">
        <w:rPr>
          <w:rFonts w:ascii="Arial" w:eastAsia="Arial" w:hAnsi="Arial" w:cs="Arial"/>
          <w:color w:val="000000" w:themeColor="text1"/>
          <w:sz w:val="24"/>
          <w:szCs w:val="24"/>
          <w:lang w:val="es"/>
        </w:rPr>
        <w:t>), no se encontró diferencia en el cumplimiento de tratamiento (</w:t>
      </w:r>
      <w:r w:rsidRPr="00803D17">
        <w:rPr>
          <w:rFonts w:ascii="Arial" w:eastAsia="Arial" w:hAnsi="Arial" w:cs="Arial"/>
          <w:color w:val="000000" w:themeColor="text1"/>
          <w:sz w:val="24"/>
          <w:szCs w:val="24"/>
        </w:rPr>
        <w:t>RR: 1.17, IC95% 0.85</w:t>
      </w:r>
      <w:r w:rsidR="0007291B">
        <w:rPr>
          <w:rFonts w:ascii="Arial" w:eastAsia="Arial" w:hAnsi="Arial" w:cs="Arial"/>
          <w:color w:val="000000" w:themeColor="text1"/>
          <w:sz w:val="24"/>
          <w:szCs w:val="24"/>
        </w:rPr>
        <w:t xml:space="preserve">; </w:t>
      </w:r>
      <w:r w:rsidRPr="00803D17">
        <w:rPr>
          <w:rFonts w:ascii="Arial" w:eastAsia="Arial" w:hAnsi="Arial" w:cs="Arial"/>
          <w:color w:val="000000" w:themeColor="text1"/>
          <w:sz w:val="24"/>
          <w:szCs w:val="24"/>
        </w:rPr>
        <w:t>1.63, I</w:t>
      </w:r>
      <w:r w:rsidRPr="00803D17">
        <w:rPr>
          <w:rFonts w:ascii="Arial" w:eastAsia="Arial" w:hAnsi="Arial" w:cs="Arial"/>
          <w:color w:val="000000" w:themeColor="text1"/>
          <w:sz w:val="24"/>
          <w:szCs w:val="24"/>
          <w:vertAlign w:val="superscript"/>
        </w:rPr>
        <w:t>2</w:t>
      </w:r>
      <w:r w:rsidRPr="00803D17">
        <w:rPr>
          <w:rFonts w:ascii="Arial" w:eastAsia="Arial" w:hAnsi="Arial" w:cs="Arial"/>
          <w:color w:val="000000" w:themeColor="text1"/>
          <w:sz w:val="24"/>
          <w:szCs w:val="24"/>
        </w:rPr>
        <w:t>= 97%), con muy bajo nivel de certeza de la evidencia (</w:t>
      </w:r>
      <w:r w:rsidRPr="00803D17">
        <w:rPr>
          <w:rFonts w:ascii="Arial" w:eastAsia="Arial" w:hAnsi="Arial" w:cs="Arial"/>
          <w:bCs/>
          <w:color w:val="000000" w:themeColor="text1"/>
          <w:sz w:val="24"/>
          <w:szCs w:val="24"/>
        </w:rPr>
        <w:t>tabla 5</w:t>
      </w:r>
      <w:r w:rsidRPr="00803D17">
        <w:rPr>
          <w:rFonts w:ascii="Arial" w:eastAsia="Arial" w:hAnsi="Arial" w:cs="Arial"/>
          <w:color w:val="000000" w:themeColor="text1"/>
          <w:sz w:val="24"/>
          <w:szCs w:val="24"/>
        </w:rPr>
        <w:t>, ver anexo</w:t>
      </w:r>
      <w:r w:rsidR="0007291B">
        <w:rPr>
          <w:rFonts w:ascii="Arial" w:eastAsia="Arial" w:hAnsi="Arial" w:cs="Arial"/>
          <w:color w:val="000000" w:themeColor="text1"/>
          <w:sz w:val="24"/>
          <w:szCs w:val="24"/>
        </w:rPr>
        <w:t xml:space="preserve"> 4</w:t>
      </w:r>
      <w:r w:rsidRPr="00803D17">
        <w:rPr>
          <w:rFonts w:ascii="Arial" w:eastAsia="Arial" w:hAnsi="Arial" w:cs="Arial"/>
          <w:color w:val="000000" w:themeColor="text1"/>
          <w:sz w:val="24"/>
          <w:szCs w:val="24"/>
        </w:rPr>
        <w:t>).</w:t>
      </w:r>
    </w:p>
    <w:p w14:paraId="0C552528" w14:textId="19CF1E3D" w:rsidR="00BA6944" w:rsidRDefault="00BA6944" w:rsidP="00BA6944">
      <w:pPr>
        <w:spacing w:after="0" w:line="360" w:lineRule="auto"/>
        <w:ind w:firstLine="680"/>
        <w:jc w:val="both"/>
        <w:rPr>
          <w:rFonts w:ascii="Arial" w:eastAsia="Arial" w:hAnsi="Arial" w:cs="Arial"/>
          <w:color w:val="000000" w:themeColor="text1"/>
          <w:sz w:val="24"/>
          <w:szCs w:val="24"/>
        </w:rPr>
      </w:pPr>
    </w:p>
    <w:p w14:paraId="39C7D2EB" w14:textId="77777777" w:rsidR="00BA6944" w:rsidRPr="00803D17" w:rsidRDefault="00BA6944" w:rsidP="00BA6944">
      <w:pPr>
        <w:spacing w:after="0" w:line="360" w:lineRule="auto"/>
        <w:ind w:firstLine="680"/>
        <w:jc w:val="both"/>
        <w:rPr>
          <w:rFonts w:ascii="Arial" w:eastAsia="Arial" w:hAnsi="Arial" w:cs="Arial"/>
          <w:color w:val="000000" w:themeColor="text1"/>
          <w:sz w:val="24"/>
          <w:szCs w:val="24"/>
        </w:rPr>
      </w:pPr>
    </w:p>
    <w:p w14:paraId="2DC645DE" w14:textId="77777777" w:rsidR="00BA6944" w:rsidRDefault="00BA6944" w:rsidP="13CEF193">
      <w:pPr>
        <w:spacing w:after="0" w:line="360" w:lineRule="auto"/>
        <w:jc w:val="both"/>
        <w:rPr>
          <w:rFonts w:ascii="Arial" w:eastAsia="Arial" w:hAnsi="Arial" w:cs="Arial"/>
          <w:sz w:val="24"/>
          <w:szCs w:val="24"/>
        </w:rPr>
      </w:pPr>
    </w:p>
    <w:p w14:paraId="0AD28CED" w14:textId="60A79A83" w:rsidR="276AFC50" w:rsidRDefault="5141EA98" w:rsidP="276AFC50">
      <w:pPr>
        <w:spacing w:line="240" w:lineRule="auto"/>
        <w:jc w:val="both"/>
        <w:rPr>
          <w:rFonts w:ascii="Arial" w:eastAsia="Arial" w:hAnsi="Arial" w:cs="Arial"/>
          <w:b/>
          <w:bCs/>
          <w:sz w:val="24"/>
          <w:szCs w:val="24"/>
        </w:rPr>
      </w:pPr>
      <w:r w:rsidRPr="00336EE5">
        <w:rPr>
          <w:rFonts w:ascii="Arial" w:eastAsia="Arial" w:hAnsi="Arial" w:cs="Arial"/>
          <w:b/>
          <w:sz w:val="24"/>
          <w:szCs w:val="24"/>
        </w:rPr>
        <w:lastRenderedPageBreak/>
        <w:t xml:space="preserve">Figura </w:t>
      </w:r>
      <w:r w:rsidR="0007291B" w:rsidRPr="00336EE5">
        <w:rPr>
          <w:rFonts w:ascii="Arial" w:eastAsia="Arial" w:hAnsi="Arial" w:cs="Arial"/>
          <w:b/>
          <w:sz w:val="24"/>
          <w:szCs w:val="24"/>
        </w:rPr>
        <w:t>7</w:t>
      </w:r>
      <w:r w:rsidRPr="00336EE5">
        <w:rPr>
          <w:rFonts w:ascii="Arial" w:eastAsia="Arial" w:hAnsi="Arial" w:cs="Arial"/>
          <w:b/>
          <w:sz w:val="24"/>
          <w:szCs w:val="24"/>
        </w:rPr>
        <w:t>.</w:t>
      </w:r>
      <w:r w:rsidRPr="5141EA98">
        <w:rPr>
          <w:rFonts w:ascii="Arial" w:eastAsia="Arial" w:hAnsi="Arial" w:cs="Arial"/>
          <w:b/>
          <w:bCs/>
          <w:sz w:val="24"/>
          <w:szCs w:val="24"/>
        </w:rPr>
        <w:t xml:space="preserve"> </w:t>
      </w:r>
      <w:r w:rsidRPr="001118B9">
        <w:rPr>
          <w:rFonts w:ascii="Arial" w:eastAsia="Arial" w:hAnsi="Arial" w:cs="Arial"/>
          <w:i/>
          <w:iCs/>
          <w:sz w:val="24"/>
          <w:szCs w:val="24"/>
        </w:rPr>
        <w:t>Gráfico de bosque: rifapentina/isoniazida vs isoniazida sola, desenlace cumplimiento de tratamiento de la ILTB en personas que viven con VIH</w:t>
      </w:r>
      <w:r w:rsidR="0045647F" w:rsidRPr="001118B9">
        <w:rPr>
          <w:rFonts w:ascii="Arial" w:eastAsia="Arial" w:hAnsi="Arial" w:cs="Arial"/>
          <w:i/>
          <w:iCs/>
          <w:sz w:val="24"/>
          <w:szCs w:val="24"/>
        </w:rPr>
        <w:t>. Ensayos clínicos aleatorizados.</w:t>
      </w:r>
    </w:p>
    <w:p w14:paraId="7160E70A" w14:textId="41F34329" w:rsidR="62CCA888" w:rsidRDefault="62CCA888" w:rsidP="5141EA98">
      <w:pPr>
        <w:spacing w:after="0" w:line="360" w:lineRule="auto"/>
        <w:jc w:val="both"/>
        <w:rPr>
          <w:rFonts w:ascii="Arial" w:eastAsia="Arial" w:hAnsi="Arial" w:cs="Arial"/>
          <w:sz w:val="24"/>
          <w:szCs w:val="24"/>
        </w:rPr>
      </w:pPr>
      <w:r>
        <w:rPr>
          <w:noProof/>
        </w:rPr>
        <w:drawing>
          <wp:inline distT="0" distB="0" distL="0" distR="0" wp14:anchorId="711EE372" wp14:editId="2D988E96">
            <wp:extent cx="6067424" cy="1289328"/>
            <wp:effectExtent l="0" t="0" r="0" b="0"/>
            <wp:docPr id="1338853184" name="Imagen 13388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67424" cy="1289328"/>
                    </a:xfrm>
                    <a:prstGeom prst="rect">
                      <a:avLst/>
                    </a:prstGeom>
                  </pic:spPr>
                </pic:pic>
              </a:graphicData>
            </a:graphic>
          </wp:inline>
        </w:drawing>
      </w:r>
    </w:p>
    <w:p w14:paraId="2C6441CE" w14:textId="77777777" w:rsidR="00BA6944" w:rsidRDefault="00BA6944" w:rsidP="5141EA98">
      <w:pPr>
        <w:spacing w:after="0" w:line="360" w:lineRule="auto"/>
        <w:jc w:val="both"/>
        <w:rPr>
          <w:rFonts w:ascii="Arial" w:eastAsia="Arial" w:hAnsi="Arial" w:cs="Arial"/>
          <w:sz w:val="24"/>
          <w:szCs w:val="24"/>
        </w:rPr>
      </w:pPr>
    </w:p>
    <w:p w14:paraId="029F4B7A" w14:textId="3186CE86" w:rsidR="00D90FC6" w:rsidRPr="006E5F10" w:rsidRDefault="00D90FC6" w:rsidP="00BA6944">
      <w:pPr>
        <w:spacing w:after="0" w:line="360" w:lineRule="auto"/>
        <w:ind w:firstLine="680"/>
        <w:jc w:val="both"/>
        <w:rPr>
          <w:rFonts w:ascii="Arial" w:eastAsia="Arial" w:hAnsi="Arial" w:cs="Arial"/>
          <w:color w:val="FF0000"/>
          <w:sz w:val="24"/>
          <w:szCs w:val="24"/>
        </w:rPr>
      </w:pPr>
      <w:r w:rsidRPr="00081C8F">
        <w:rPr>
          <w:rFonts w:ascii="Arial" w:eastAsia="Arial" w:hAnsi="Arial" w:cs="Arial"/>
          <w:sz w:val="24"/>
          <w:szCs w:val="24"/>
        </w:rPr>
        <w:t>A partir de los estudios de cohorte</w:t>
      </w:r>
      <w:r w:rsidR="0045647F" w:rsidRPr="00081C8F">
        <w:rPr>
          <w:rFonts w:ascii="Arial" w:eastAsia="Arial" w:hAnsi="Arial" w:cs="Arial"/>
          <w:sz w:val="24"/>
          <w:szCs w:val="24"/>
        </w:rPr>
        <w:t>s</w:t>
      </w:r>
      <w:r w:rsidR="008F3696" w:rsidRPr="00081C8F">
        <w:rPr>
          <w:rFonts w:ascii="Arial" w:eastAsia="Arial" w:hAnsi="Arial" w:cs="Arial"/>
          <w:sz w:val="24"/>
          <w:szCs w:val="24"/>
        </w:rPr>
        <w:t>,</w:t>
      </w:r>
      <w:r w:rsidRPr="00081C8F">
        <w:rPr>
          <w:rFonts w:ascii="Arial" w:eastAsia="Arial" w:hAnsi="Arial" w:cs="Arial"/>
          <w:sz w:val="24"/>
          <w:szCs w:val="24"/>
        </w:rPr>
        <w:t xml:space="preserve"> obtuvimos </w:t>
      </w:r>
      <w:r w:rsidR="0045647F" w:rsidRPr="00081C8F">
        <w:rPr>
          <w:rFonts w:ascii="Arial" w:eastAsia="Arial" w:hAnsi="Arial" w:cs="Arial"/>
          <w:sz w:val="24"/>
          <w:szCs w:val="24"/>
        </w:rPr>
        <w:t>datos</w:t>
      </w:r>
      <w:r w:rsidRPr="00081C8F">
        <w:rPr>
          <w:rFonts w:ascii="Arial" w:eastAsia="Arial" w:hAnsi="Arial" w:cs="Arial"/>
          <w:sz w:val="24"/>
          <w:szCs w:val="24"/>
        </w:rPr>
        <w:t xml:space="preserve"> </w:t>
      </w:r>
      <w:r w:rsidR="0045647F" w:rsidRPr="00081C8F">
        <w:rPr>
          <w:rFonts w:ascii="Arial" w:eastAsia="Arial" w:hAnsi="Arial" w:cs="Arial"/>
          <w:sz w:val="24"/>
          <w:szCs w:val="24"/>
        </w:rPr>
        <w:t xml:space="preserve">solo </w:t>
      </w:r>
      <w:r w:rsidRPr="00081C8F">
        <w:rPr>
          <w:rFonts w:ascii="Arial" w:eastAsia="Arial" w:hAnsi="Arial" w:cs="Arial"/>
          <w:sz w:val="24"/>
          <w:szCs w:val="24"/>
        </w:rPr>
        <w:t xml:space="preserve">para </w:t>
      </w:r>
      <w:r w:rsidR="008F3696" w:rsidRPr="00081C8F">
        <w:rPr>
          <w:rFonts w:ascii="Arial" w:eastAsia="Arial" w:hAnsi="Arial" w:cs="Arial"/>
          <w:sz w:val="24"/>
          <w:szCs w:val="24"/>
        </w:rPr>
        <w:t>el</w:t>
      </w:r>
      <w:r w:rsidR="0045647F" w:rsidRPr="00081C8F">
        <w:rPr>
          <w:rFonts w:ascii="Arial" w:eastAsia="Arial" w:hAnsi="Arial" w:cs="Arial"/>
          <w:sz w:val="24"/>
          <w:szCs w:val="24"/>
        </w:rPr>
        <w:t xml:space="preserve"> desenlace</w:t>
      </w:r>
      <w:r w:rsidR="008F3696" w:rsidRPr="00081C8F">
        <w:rPr>
          <w:rFonts w:ascii="Arial" w:eastAsia="Arial" w:hAnsi="Arial" w:cs="Arial"/>
          <w:sz w:val="24"/>
          <w:szCs w:val="24"/>
        </w:rPr>
        <w:t xml:space="preserve"> </w:t>
      </w:r>
      <w:r w:rsidRPr="00081C8F">
        <w:rPr>
          <w:rFonts w:ascii="Arial" w:eastAsia="Arial" w:hAnsi="Arial" w:cs="Arial"/>
          <w:sz w:val="24"/>
          <w:szCs w:val="24"/>
        </w:rPr>
        <w:t>cumplimiento del tratamiento</w:t>
      </w:r>
      <w:r>
        <w:rPr>
          <w:rFonts w:ascii="Arial" w:eastAsia="Arial" w:hAnsi="Arial" w:cs="Arial"/>
          <w:sz w:val="24"/>
          <w:szCs w:val="24"/>
        </w:rPr>
        <w:t xml:space="preserve"> </w:t>
      </w:r>
      <w:r w:rsidRPr="5141EA98">
        <w:rPr>
          <w:rFonts w:ascii="Arial" w:eastAsia="Arial" w:hAnsi="Arial" w:cs="Arial"/>
          <w:sz w:val="24"/>
          <w:szCs w:val="24"/>
        </w:rPr>
        <w:t>(</w:t>
      </w:r>
      <w:r w:rsidRPr="0045647F">
        <w:rPr>
          <w:rFonts w:ascii="Arial" w:eastAsia="Arial" w:hAnsi="Arial" w:cs="Arial"/>
          <w:bCs/>
          <w:sz w:val="24"/>
          <w:szCs w:val="24"/>
        </w:rPr>
        <w:t xml:space="preserve">figura </w:t>
      </w:r>
      <w:r w:rsidR="0007291B" w:rsidRPr="0045647F">
        <w:rPr>
          <w:rFonts w:ascii="Arial" w:eastAsia="Arial" w:hAnsi="Arial" w:cs="Arial"/>
          <w:bCs/>
          <w:sz w:val="24"/>
          <w:szCs w:val="24"/>
        </w:rPr>
        <w:t>8</w:t>
      </w:r>
      <w:r w:rsidRPr="5141EA98">
        <w:rPr>
          <w:rFonts w:ascii="Arial" w:eastAsia="Arial" w:hAnsi="Arial" w:cs="Arial"/>
          <w:sz w:val="24"/>
          <w:szCs w:val="24"/>
        </w:rPr>
        <w:t xml:space="preserve">). </w:t>
      </w:r>
      <w:r>
        <w:rPr>
          <w:rFonts w:ascii="Arial" w:eastAsia="Arial" w:hAnsi="Arial" w:cs="Arial"/>
          <w:sz w:val="24"/>
          <w:szCs w:val="24"/>
        </w:rPr>
        <w:t xml:space="preserve">No encontramos diferencia entre ambas intervenciones al analizar la evidencia combinada de todos los estudios observacionales en </w:t>
      </w:r>
      <w:r w:rsidRPr="5141EA98">
        <w:rPr>
          <w:rFonts w:ascii="Arial" w:eastAsia="Arial" w:hAnsi="Arial" w:cs="Arial"/>
          <w:sz w:val="24"/>
          <w:szCs w:val="24"/>
        </w:rPr>
        <w:t>participantes con inmunodepresión secundaria no VIH</w:t>
      </w:r>
      <w:r>
        <w:rPr>
          <w:rFonts w:ascii="Arial" w:eastAsia="Arial" w:hAnsi="Arial" w:cs="Arial"/>
          <w:sz w:val="24"/>
          <w:szCs w:val="24"/>
        </w:rPr>
        <w:t xml:space="preserve"> </w:t>
      </w:r>
      <w:r w:rsidRPr="5141EA98">
        <w:rPr>
          <w:rFonts w:ascii="Arial" w:eastAsia="Arial" w:hAnsi="Arial" w:cs="Arial"/>
          <w:sz w:val="24"/>
          <w:szCs w:val="24"/>
        </w:rPr>
        <w:t>(RR: 1.13, IC95% 1.00</w:t>
      </w:r>
      <w:r w:rsidR="0007291B">
        <w:rPr>
          <w:rFonts w:ascii="Arial" w:eastAsia="Arial" w:hAnsi="Arial" w:cs="Arial"/>
          <w:sz w:val="24"/>
          <w:szCs w:val="24"/>
        </w:rPr>
        <w:t xml:space="preserve">; </w:t>
      </w:r>
      <w:r w:rsidRPr="5141EA98">
        <w:rPr>
          <w:rFonts w:ascii="Arial" w:eastAsia="Arial" w:hAnsi="Arial" w:cs="Arial"/>
          <w:sz w:val="24"/>
          <w:szCs w:val="24"/>
        </w:rPr>
        <w:t>1.28, I</w:t>
      </w:r>
      <w:r w:rsidRPr="5141EA98">
        <w:rPr>
          <w:rFonts w:ascii="Arial" w:eastAsia="Arial" w:hAnsi="Arial" w:cs="Arial"/>
          <w:sz w:val="24"/>
          <w:szCs w:val="24"/>
          <w:vertAlign w:val="superscript"/>
        </w:rPr>
        <w:t>2</w:t>
      </w:r>
      <w:r w:rsidRPr="5141EA98">
        <w:rPr>
          <w:rFonts w:ascii="Arial" w:eastAsia="Arial" w:hAnsi="Arial" w:cs="Arial"/>
          <w:sz w:val="24"/>
          <w:szCs w:val="24"/>
        </w:rPr>
        <w:t>= 9%)</w:t>
      </w:r>
      <w:r>
        <w:rPr>
          <w:rFonts w:ascii="Arial" w:eastAsia="Arial" w:hAnsi="Arial" w:cs="Arial"/>
          <w:sz w:val="24"/>
          <w:szCs w:val="24"/>
        </w:rPr>
        <w:t>, c</w:t>
      </w:r>
      <w:r w:rsidRPr="5141EA98">
        <w:rPr>
          <w:rFonts w:ascii="Arial" w:eastAsia="Arial" w:hAnsi="Arial" w:cs="Arial"/>
          <w:sz w:val="24"/>
          <w:szCs w:val="24"/>
        </w:rPr>
        <w:t>on muy bajo nivel de certeza de la evidencia (</w:t>
      </w:r>
      <w:r w:rsidRPr="003F073B">
        <w:rPr>
          <w:rFonts w:ascii="Arial" w:eastAsia="Arial" w:hAnsi="Arial" w:cs="Arial"/>
          <w:bCs/>
          <w:sz w:val="24"/>
          <w:szCs w:val="24"/>
        </w:rPr>
        <w:t xml:space="preserve">tabla </w:t>
      </w:r>
      <w:r w:rsidR="00D32DCC">
        <w:rPr>
          <w:rFonts w:ascii="Arial" w:eastAsia="Arial" w:hAnsi="Arial" w:cs="Arial"/>
          <w:bCs/>
          <w:sz w:val="24"/>
          <w:szCs w:val="24"/>
        </w:rPr>
        <w:t>6</w:t>
      </w:r>
      <w:r w:rsidRPr="5141EA98">
        <w:rPr>
          <w:rFonts w:ascii="Arial" w:eastAsia="Arial" w:hAnsi="Arial" w:cs="Arial"/>
          <w:sz w:val="24"/>
          <w:szCs w:val="24"/>
        </w:rPr>
        <w:t>, ver anexo</w:t>
      </w:r>
      <w:r w:rsidR="0007291B">
        <w:rPr>
          <w:rFonts w:ascii="Arial" w:eastAsia="Arial" w:hAnsi="Arial" w:cs="Arial"/>
          <w:sz w:val="24"/>
          <w:szCs w:val="24"/>
        </w:rPr>
        <w:t xml:space="preserve"> </w:t>
      </w:r>
      <w:r w:rsidR="00D32DCC">
        <w:rPr>
          <w:rFonts w:ascii="Arial" w:eastAsia="Arial" w:hAnsi="Arial" w:cs="Arial"/>
          <w:sz w:val="24"/>
          <w:szCs w:val="24"/>
        </w:rPr>
        <w:t>5</w:t>
      </w:r>
      <w:r w:rsidRPr="5141EA98">
        <w:rPr>
          <w:rFonts w:ascii="Arial" w:eastAsia="Arial" w:hAnsi="Arial" w:cs="Arial"/>
          <w:sz w:val="24"/>
          <w:szCs w:val="24"/>
        </w:rPr>
        <w:t>).</w:t>
      </w:r>
      <w:r w:rsidRPr="00BD6C8B">
        <w:rPr>
          <w:rFonts w:ascii="Arial" w:eastAsia="Arial" w:hAnsi="Arial" w:cs="Arial"/>
          <w:sz w:val="24"/>
          <w:szCs w:val="24"/>
        </w:rPr>
        <w:t xml:space="preserve"> </w:t>
      </w:r>
      <w:r>
        <w:rPr>
          <w:rFonts w:ascii="Arial" w:eastAsia="Arial" w:hAnsi="Arial" w:cs="Arial"/>
          <w:sz w:val="24"/>
          <w:szCs w:val="24"/>
        </w:rPr>
        <w:t>Sin embargo</w:t>
      </w:r>
      <w:r w:rsidRPr="00081C8F">
        <w:rPr>
          <w:rFonts w:ascii="Arial" w:eastAsia="Arial" w:hAnsi="Arial" w:cs="Arial"/>
          <w:sz w:val="24"/>
          <w:szCs w:val="24"/>
        </w:rPr>
        <w:t xml:space="preserve">, </w:t>
      </w:r>
      <w:r w:rsidR="000F3934" w:rsidRPr="00081C8F">
        <w:rPr>
          <w:rFonts w:ascii="Arial" w:eastAsia="Arial" w:hAnsi="Arial" w:cs="Arial"/>
          <w:sz w:val="24"/>
          <w:szCs w:val="24"/>
        </w:rPr>
        <w:t>llama la atención que el</w:t>
      </w:r>
      <w:r w:rsidR="005F19E9" w:rsidRPr="00081C8F">
        <w:rPr>
          <w:rFonts w:ascii="Arial" w:eastAsia="Arial" w:hAnsi="Arial" w:cs="Arial"/>
          <w:sz w:val="24"/>
          <w:szCs w:val="24"/>
        </w:rPr>
        <w:t xml:space="preserve"> estudio individual de</w:t>
      </w:r>
      <w:r w:rsidRPr="00081C8F">
        <w:rPr>
          <w:rFonts w:ascii="Arial" w:eastAsia="Arial" w:hAnsi="Arial" w:cs="Arial"/>
          <w:sz w:val="24"/>
          <w:szCs w:val="24"/>
        </w:rPr>
        <w:t xml:space="preserve"> pacientes con enfermedad renal </w:t>
      </w:r>
      <w:r w:rsidR="005F19E9" w:rsidRPr="00081C8F">
        <w:rPr>
          <w:rFonts w:ascii="Arial" w:eastAsia="Arial" w:hAnsi="Arial" w:cs="Arial"/>
          <w:sz w:val="24"/>
          <w:szCs w:val="24"/>
        </w:rPr>
        <w:t>en</w:t>
      </w:r>
      <w:r w:rsidRPr="00081C8F">
        <w:rPr>
          <w:rFonts w:ascii="Arial" w:eastAsia="Arial" w:hAnsi="Arial" w:cs="Arial"/>
          <w:sz w:val="24"/>
          <w:szCs w:val="24"/>
        </w:rPr>
        <w:t xml:space="preserve"> diálisis </w:t>
      </w:r>
      <w:bookmarkStart w:id="23" w:name="_Hlk84084330"/>
      <w:r w:rsidR="000F3934" w:rsidRPr="00081C8F">
        <w:rPr>
          <w:rFonts w:ascii="Arial" w:eastAsia="Arial" w:hAnsi="Arial" w:cs="Arial"/>
          <w:sz w:val="24"/>
          <w:szCs w:val="24"/>
        </w:rPr>
        <w:t>mostr</w:t>
      </w:r>
      <w:r w:rsidR="007D2683" w:rsidRPr="00081C8F">
        <w:rPr>
          <w:rFonts w:ascii="Arial" w:eastAsia="Arial" w:hAnsi="Arial" w:cs="Arial"/>
          <w:sz w:val="24"/>
          <w:szCs w:val="24"/>
        </w:rPr>
        <w:t>ó</w:t>
      </w:r>
      <w:r w:rsidRPr="00081C8F">
        <w:rPr>
          <w:rFonts w:ascii="Arial" w:eastAsia="Arial" w:hAnsi="Arial" w:cs="Arial"/>
          <w:sz w:val="24"/>
          <w:szCs w:val="24"/>
        </w:rPr>
        <w:t xml:space="preserve"> una diferencia significativa entre las alternativas a favor del régimen tradicional con isonia</w:t>
      </w:r>
      <w:r w:rsidR="00600B57" w:rsidRPr="00081C8F">
        <w:rPr>
          <w:rFonts w:ascii="Arial" w:eastAsia="Arial" w:hAnsi="Arial" w:cs="Arial"/>
          <w:sz w:val="24"/>
          <w:szCs w:val="24"/>
        </w:rPr>
        <w:t>z</w:t>
      </w:r>
      <w:r w:rsidRPr="00081C8F">
        <w:rPr>
          <w:rFonts w:ascii="Arial" w:eastAsia="Arial" w:hAnsi="Arial" w:cs="Arial"/>
          <w:sz w:val="24"/>
          <w:szCs w:val="24"/>
        </w:rPr>
        <w:t>ida sola.</w:t>
      </w:r>
      <w:r>
        <w:rPr>
          <w:rFonts w:ascii="Arial" w:eastAsia="Arial" w:hAnsi="Arial" w:cs="Arial"/>
          <w:sz w:val="24"/>
          <w:szCs w:val="24"/>
        </w:rPr>
        <w:t xml:space="preserve"> </w:t>
      </w:r>
    </w:p>
    <w:bookmarkEnd w:id="23"/>
    <w:p w14:paraId="7529756C" w14:textId="1D3D415F" w:rsidR="13CEF193" w:rsidRDefault="13CEF193" w:rsidP="5141EA98">
      <w:pPr>
        <w:spacing w:after="0" w:line="360" w:lineRule="auto"/>
        <w:jc w:val="both"/>
        <w:rPr>
          <w:rFonts w:ascii="Arial" w:eastAsia="Arial" w:hAnsi="Arial" w:cs="Arial"/>
          <w:sz w:val="24"/>
          <w:szCs w:val="24"/>
        </w:rPr>
      </w:pPr>
    </w:p>
    <w:p w14:paraId="5201A291" w14:textId="23C67257" w:rsidR="00BA6944" w:rsidRDefault="00BA6944" w:rsidP="5141EA98">
      <w:pPr>
        <w:spacing w:after="0" w:line="360" w:lineRule="auto"/>
        <w:jc w:val="both"/>
        <w:rPr>
          <w:rFonts w:ascii="Arial" w:eastAsia="Arial" w:hAnsi="Arial" w:cs="Arial"/>
          <w:sz w:val="24"/>
          <w:szCs w:val="24"/>
        </w:rPr>
      </w:pPr>
    </w:p>
    <w:p w14:paraId="0F1D2908" w14:textId="6CBBDEF0" w:rsidR="00BA6944" w:rsidRDefault="00BA6944" w:rsidP="5141EA98">
      <w:pPr>
        <w:spacing w:after="0" w:line="360" w:lineRule="auto"/>
        <w:jc w:val="both"/>
        <w:rPr>
          <w:rFonts w:ascii="Arial" w:eastAsia="Arial" w:hAnsi="Arial" w:cs="Arial"/>
          <w:sz w:val="24"/>
          <w:szCs w:val="24"/>
        </w:rPr>
      </w:pPr>
    </w:p>
    <w:p w14:paraId="7E647E84" w14:textId="70568C5B" w:rsidR="00BA6944" w:rsidRDefault="00BA6944" w:rsidP="5141EA98">
      <w:pPr>
        <w:spacing w:after="0" w:line="360" w:lineRule="auto"/>
        <w:jc w:val="both"/>
        <w:rPr>
          <w:rFonts w:ascii="Arial" w:eastAsia="Arial" w:hAnsi="Arial" w:cs="Arial"/>
          <w:sz w:val="24"/>
          <w:szCs w:val="24"/>
        </w:rPr>
      </w:pPr>
    </w:p>
    <w:p w14:paraId="43536962" w14:textId="71FEA4D9" w:rsidR="00BA6944" w:rsidRDefault="00BA6944" w:rsidP="5141EA98">
      <w:pPr>
        <w:spacing w:after="0" w:line="360" w:lineRule="auto"/>
        <w:jc w:val="both"/>
        <w:rPr>
          <w:rFonts w:ascii="Arial" w:eastAsia="Arial" w:hAnsi="Arial" w:cs="Arial"/>
          <w:sz w:val="24"/>
          <w:szCs w:val="24"/>
        </w:rPr>
      </w:pPr>
    </w:p>
    <w:p w14:paraId="51070747" w14:textId="15AEFEBF" w:rsidR="00BA6944" w:rsidRDefault="00BA6944" w:rsidP="5141EA98">
      <w:pPr>
        <w:spacing w:after="0" w:line="360" w:lineRule="auto"/>
        <w:jc w:val="both"/>
        <w:rPr>
          <w:rFonts w:ascii="Arial" w:eastAsia="Arial" w:hAnsi="Arial" w:cs="Arial"/>
          <w:sz w:val="24"/>
          <w:szCs w:val="24"/>
        </w:rPr>
      </w:pPr>
    </w:p>
    <w:p w14:paraId="756F9197" w14:textId="54315480" w:rsidR="00BA6944" w:rsidRDefault="00BA6944" w:rsidP="5141EA98">
      <w:pPr>
        <w:spacing w:after="0" w:line="360" w:lineRule="auto"/>
        <w:jc w:val="both"/>
        <w:rPr>
          <w:rFonts w:ascii="Arial" w:eastAsia="Arial" w:hAnsi="Arial" w:cs="Arial"/>
          <w:sz w:val="24"/>
          <w:szCs w:val="24"/>
        </w:rPr>
      </w:pPr>
    </w:p>
    <w:p w14:paraId="03839C14" w14:textId="6B075C1E" w:rsidR="00BA6944" w:rsidRDefault="00BA6944" w:rsidP="5141EA98">
      <w:pPr>
        <w:spacing w:after="0" w:line="360" w:lineRule="auto"/>
        <w:jc w:val="both"/>
        <w:rPr>
          <w:rFonts w:ascii="Arial" w:eastAsia="Arial" w:hAnsi="Arial" w:cs="Arial"/>
          <w:sz w:val="24"/>
          <w:szCs w:val="24"/>
        </w:rPr>
      </w:pPr>
    </w:p>
    <w:p w14:paraId="1465D53A" w14:textId="21B1BBF5" w:rsidR="00BA6944" w:rsidRDefault="00BA6944" w:rsidP="5141EA98">
      <w:pPr>
        <w:spacing w:after="0" w:line="360" w:lineRule="auto"/>
        <w:jc w:val="both"/>
        <w:rPr>
          <w:rFonts w:ascii="Arial" w:eastAsia="Arial" w:hAnsi="Arial" w:cs="Arial"/>
          <w:sz w:val="24"/>
          <w:szCs w:val="24"/>
        </w:rPr>
      </w:pPr>
    </w:p>
    <w:p w14:paraId="3A846E16" w14:textId="058011CB" w:rsidR="00BA6944" w:rsidRDefault="00BA6944" w:rsidP="5141EA98">
      <w:pPr>
        <w:spacing w:after="0" w:line="360" w:lineRule="auto"/>
        <w:jc w:val="both"/>
        <w:rPr>
          <w:rFonts w:ascii="Arial" w:eastAsia="Arial" w:hAnsi="Arial" w:cs="Arial"/>
          <w:sz w:val="24"/>
          <w:szCs w:val="24"/>
        </w:rPr>
      </w:pPr>
    </w:p>
    <w:p w14:paraId="1D375D62" w14:textId="70063AC3" w:rsidR="00BA6944" w:rsidRDefault="00BA6944" w:rsidP="5141EA98">
      <w:pPr>
        <w:spacing w:after="0" w:line="360" w:lineRule="auto"/>
        <w:jc w:val="both"/>
        <w:rPr>
          <w:rFonts w:ascii="Arial" w:eastAsia="Arial" w:hAnsi="Arial" w:cs="Arial"/>
          <w:sz w:val="24"/>
          <w:szCs w:val="24"/>
        </w:rPr>
      </w:pPr>
    </w:p>
    <w:p w14:paraId="3A093397" w14:textId="0E0CFF4D" w:rsidR="00BA6944" w:rsidRDefault="00BA6944" w:rsidP="5141EA98">
      <w:pPr>
        <w:spacing w:after="0" w:line="360" w:lineRule="auto"/>
        <w:jc w:val="both"/>
        <w:rPr>
          <w:rFonts w:ascii="Arial" w:eastAsia="Arial" w:hAnsi="Arial" w:cs="Arial"/>
          <w:sz w:val="24"/>
          <w:szCs w:val="24"/>
        </w:rPr>
      </w:pPr>
    </w:p>
    <w:p w14:paraId="23AADF7A" w14:textId="77777777" w:rsidR="00BA6944" w:rsidRDefault="00BA6944" w:rsidP="5141EA98">
      <w:pPr>
        <w:spacing w:after="0" w:line="360" w:lineRule="auto"/>
        <w:jc w:val="both"/>
        <w:rPr>
          <w:rFonts w:ascii="Arial" w:eastAsia="Arial" w:hAnsi="Arial" w:cs="Arial"/>
          <w:sz w:val="24"/>
          <w:szCs w:val="24"/>
        </w:rPr>
      </w:pPr>
    </w:p>
    <w:p w14:paraId="165632CE" w14:textId="34A2624A" w:rsidR="50108BED" w:rsidRPr="00B82961" w:rsidRDefault="5141EA98" w:rsidP="50108BED">
      <w:pPr>
        <w:spacing w:after="0" w:line="240" w:lineRule="auto"/>
        <w:jc w:val="both"/>
        <w:rPr>
          <w:rFonts w:ascii="Arial" w:eastAsia="Arial" w:hAnsi="Arial" w:cs="Arial"/>
          <w:b/>
          <w:bCs/>
          <w:color w:val="FF0000"/>
          <w:sz w:val="24"/>
          <w:szCs w:val="24"/>
        </w:rPr>
      </w:pPr>
      <w:r w:rsidRPr="00336EE5">
        <w:rPr>
          <w:rFonts w:ascii="Arial" w:eastAsia="Arial" w:hAnsi="Arial" w:cs="Arial"/>
          <w:b/>
          <w:sz w:val="24"/>
          <w:szCs w:val="24"/>
        </w:rPr>
        <w:lastRenderedPageBreak/>
        <w:t xml:space="preserve">Figura </w:t>
      </w:r>
      <w:r w:rsidR="0007291B" w:rsidRPr="00336EE5">
        <w:rPr>
          <w:rFonts w:ascii="Arial" w:eastAsia="Arial" w:hAnsi="Arial" w:cs="Arial"/>
          <w:b/>
          <w:sz w:val="24"/>
          <w:szCs w:val="24"/>
        </w:rPr>
        <w:t>8</w:t>
      </w:r>
      <w:r w:rsidRPr="00336EE5">
        <w:rPr>
          <w:rFonts w:ascii="Arial" w:eastAsia="Arial" w:hAnsi="Arial" w:cs="Arial"/>
          <w:b/>
          <w:sz w:val="24"/>
          <w:szCs w:val="24"/>
        </w:rPr>
        <w:t>.</w:t>
      </w:r>
      <w:r w:rsidRPr="5141EA98">
        <w:rPr>
          <w:rFonts w:ascii="Arial" w:eastAsia="Arial" w:hAnsi="Arial" w:cs="Arial"/>
          <w:sz w:val="24"/>
          <w:szCs w:val="24"/>
        </w:rPr>
        <w:t xml:space="preserve"> </w:t>
      </w:r>
      <w:r w:rsidRPr="001118B9">
        <w:rPr>
          <w:rFonts w:ascii="Arial" w:eastAsia="Arial" w:hAnsi="Arial" w:cs="Arial"/>
          <w:i/>
          <w:iCs/>
          <w:sz w:val="24"/>
          <w:szCs w:val="24"/>
        </w:rPr>
        <w:t>Gráfico de bosque: cumplimiento</w:t>
      </w:r>
      <w:r w:rsidR="00E30F06" w:rsidRPr="001118B9">
        <w:rPr>
          <w:rFonts w:ascii="Arial" w:eastAsia="Arial" w:hAnsi="Arial" w:cs="Arial"/>
          <w:i/>
          <w:iCs/>
          <w:sz w:val="24"/>
          <w:szCs w:val="24"/>
        </w:rPr>
        <w:t xml:space="preserve"> de</w:t>
      </w:r>
      <w:r w:rsidRPr="001118B9">
        <w:rPr>
          <w:rFonts w:ascii="Arial" w:eastAsia="Arial" w:hAnsi="Arial" w:cs="Arial"/>
          <w:i/>
          <w:iCs/>
          <w:sz w:val="24"/>
          <w:szCs w:val="24"/>
        </w:rPr>
        <w:t xml:space="preserve"> </w:t>
      </w:r>
      <w:r w:rsidR="00E30F06" w:rsidRPr="001118B9">
        <w:rPr>
          <w:rFonts w:ascii="Arial" w:eastAsia="Arial" w:hAnsi="Arial" w:cs="Arial"/>
          <w:i/>
          <w:iCs/>
          <w:sz w:val="24"/>
          <w:szCs w:val="24"/>
        </w:rPr>
        <w:t xml:space="preserve">rifapentina/isoniazida vs isoniazida sola en el </w:t>
      </w:r>
      <w:r w:rsidRPr="001118B9">
        <w:rPr>
          <w:rFonts w:ascii="Arial" w:eastAsia="Arial" w:hAnsi="Arial" w:cs="Arial"/>
          <w:i/>
          <w:iCs/>
          <w:sz w:val="24"/>
          <w:szCs w:val="24"/>
        </w:rPr>
        <w:t>tratamiento de la ILTB en personas con inmunodepresión secundaria no VIH</w:t>
      </w:r>
      <w:r w:rsidR="008F3696" w:rsidRPr="001118B9">
        <w:rPr>
          <w:rFonts w:ascii="Arial" w:eastAsia="Arial" w:hAnsi="Arial" w:cs="Arial"/>
          <w:i/>
          <w:iCs/>
          <w:sz w:val="24"/>
          <w:szCs w:val="24"/>
        </w:rPr>
        <w:t>.</w:t>
      </w:r>
      <w:r w:rsidR="0045647F" w:rsidRPr="001118B9">
        <w:rPr>
          <w:rFonts w:ascii="Arial" w:eastAsia="Arial" w:hAnsi="Arial" w:cs="Arial"/>
          <w:i/>
          <w:iCs/>
          <w:color w:val="FF0000"/>
          <w:sz w:val="24"/>
          <w:szCs w:val="24"/>
        </w:rPr>
        <w:t xml:space="preserve"> </w:t>
      </w:r>
      <w:r w:rsidR="0045647F" w:rsidRPr="001118B9">
        <w:rPr>
          <w:rFonts w:ascii="Arial" w:eastAsia="Arial" w:hAnsi="Arial" w:cs="Arial"/>
          <w:i/>
          <w:iCs/>
          <w:color w:val="000000" w:themeColor="text1"/>
          <w:sz w:val="24"/>
          <w:szCs w:val="24"/>
        </w:rPr>
        <w:t>E</w:t>
      </w:r>
      <w:r w:rsidR="00B82961" w:rsidRPr="001118B9">
        <w:rPr>
          <w:rFonts w:ascii="Arial" w:eastAsia="Arial" w:hAnsi="Arial" w:cs="Arial"/>
          <w:i/>
          <w:iCs/>
          <w:color w:val="000000" w:themeColor="text1"/>
          <w:sz w:val="24"/>
          <w:szCs w:val="24"/>
        </w:rPr>
        <w:t>studios de cohortes</w:t>
      </w:r>
    </w:p>
    <w:p w14:paraId="7916D541" w14:textId="6F98BAFB" w:rsidR="7FFF87B3" w:rsidRDefault="7FFF87B3" w:rsidP="7FFF87B3">
      <w:pPr>
        <w:spacing w:after="0" w:line="360" w:lineRule="auto"/>
        <w:jc w:val="both"/>
        <w:rPr>
          <w:rFonts w:ascii="Arial" w:eastAsia="Arial" w:hAnsi="Arial" w:cs="Arial"/>
          <w:sz w:val="24"/>
          <w:szCs w:val="24"/>
        </w:rPr>
      </w:pPr>
    </w:p>
    <w:p w14:paraId="66C284D3" w14:textId="166D273A" w:rsidR="0069138C" w:rsidRDefault="0045647F" w:rsidP="13CEF193">
      <w:pPr>
        <w:spacing w:after="0" w:line="360" w:lineRule="auto"/>
        <w:jc w:val="both"/>
        <w:rPr>
          <w:rFonts w:ascii="Arial" w:eastAsia="Arial" w:hAnsi="Arial" w:cs="Arial"/>
          <w:b/>
          <w:bCs/>
          <w:sz w:val="24"/>
          <w:szCs w:val="24"/>
        </w:rPr>
      </w:pPr>
      <w:r>
        <w:rPr>
          <w:noProof/>
        </w:rPr>
        <w:drawing>
          <wp:inline distT="0" distB="0" distL="0" distR="0" wp14:anchorId="15795BC0" wp14:editId="3C0E7B83">
            <wp:extent cx="5943600" cy="3541300"/>
            <wp:effectExtent l="0" t="0" r="0" b="2540"/>
            <wp:docPr id="692865290" name="Imagen 69286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3541300"/>
                    </a:xfrm>
                    <a:prstGeom prst="rect">
                      <a:avLst/>
                    </a:prstGeom>
                  </pic:spPr>
                </pic:pic>
              </a:graphicData>
            </a:graphic>
          </wp:inline>
        </w:drawing>
      </w:r>
    </w:p>
    <w:p w14:paraId="74869C0E" w14:textId="44229B24" w:rsidR="00BA6944" w:rsidRDefault="00BA6944" w:rsidP="13CEF193">
      <w:pPr>
        <w:spacing w:after="0" w:line="360" w:lineRule="auto"/>
        <w:jc w:val="both"/>
        <w:rPr>
          <w:rFonts w:ascii="Arial" w:eastAsia="Arial" w:hAnsi="Arial" w:cs="Arial"/>
          <w:b/>
          <w:bCs/>
          <w:sz w:val="24"/>
          <w:szCs w:val="24"/>
        </w:rPr>
      </w:pPr>
    </w:p>
    <w:p w14:paraId="227BEE21" w14:textId="79590CEA" w:rsidR="22AF51C9" w:rsidRDefault="007E0305" w:rsidP="00BA6944">
      <w:pPr>
        <w:pStyle w:val="Ttulo1"/>
        <w:jc w:val="center"/>
      </w:pPr>
      <w:bookmarkStart w:id="24" w:name="_Toc85474284"/>
      <w:r w:rsidRPr="5141EA98">
        <w:t>Discusión</w:t>
      </w:r>
      <w:bookmarkEnd w:id="24"/>
    </w:p>
    <w:p w14:paraId="68516A70" w14:textId="77777777" w:rsidR="00BA6944" w:rsidRPr="00BA6944" w:rsidRDefault="00BA6944" w:rsidP="00BA6944"/>
    <w:p w14:paraId="31D2432D" w14:textId="6AD36086" w:rsidR="22AF51C9" w:rsidRDefault="5141EA98" w:rsidP="00720DAE">
      <w:pPr>
        <w:pStyle w:val="Ttulo2"/>
      </w:pPr>
      <w:bookmarkStart w:id="25" w:name="_Toc85474285"/>
      <w:bookmarkStart w:id="26" w:name="_Hlk85472969"/>
      <w:r w:rsidRPr="5141EA98">
        <w:t>Interpretación general de los resultados</w:t>
      </w:r>
      <w:bookmarkEnd w:id="25"/>
      <w:r w:rsidRPr="5141EA98">
        <w:t xml:space="preserve"> </w:t>
      </w:r>
    </w:p>
    <w:p w14:paraId="4A2AEE23" w14:textId="77777777" w:rsidR="00BA6944" w:rsidRPr="00BA6944" w:rsidRDefault="00BA6944" w:rsidP="00BA6944"/>
    <w:bookmarkEnd w:id="26"/>
    <w:p w14:paraId="30837483" w14:textId="59085953" w:rsidR="00803D17" w:rsidRDefault="00803D17" w:rsidP="00DC1AB9">
      <w:pPr>
        <w:spacing w:after="0" w:line="360" w:lineRule="auto"/>
        <w:ind w:firstLine="680"/>
        <w:jc w:val="both"/>
        <w:rPr>
          <w:rFonts w:ascii="Arial" w:eastAsia="Arial" w:hAnsi="Arial" w:cs="Arial"/>
          <w:sz w:val="24"/>
          <w:szCs w:val="24"/>
        </w:rPr>
      </w:pPr>
      <w:r>
        <w:rPr>
          <w:rFonts w:ascii="Arial" w:eastAsia="Arial" w:hAnsi="Arial" w:cs="Arial"/>
          <w:sz w:val="24"/>
          <w:szCs w:val="24"/>
        </w:rPr>
        <w:t xml:space="preserve">En esta revisión de la literatura de estudios observacionales y estudios aleatorizados, se resumió la evidencia proveniente de </w:t>
      </w:r>
      <w:r w:rsidR="008F3696">
        <w:rPr>
          <w:rFonts w:ascii="Arial" w:eastAsia="Arial" w:hAnsi="Arial" w:cs="Arial"/>
          <w:sz w:val="24"/>
          <w:szCs w:val="24"/>
        </w:rPr>
        <w:t>seis</w:t>
      </w:r>
      <w:r>
        <w:rPr>
          <w:rFonts w:ascii="Arial" w:eastAsia="Arial" w:hAnsi="Arial" w:cs="Arial"/>
          <w:sz w:val="24"/>
          <w:szCs w:val="24"/>
        </w:rPr>
        <w:t xml:space="preserve"> estudios</w:t>
      </w:r>
      <w:r w:rsidR="008F3696">
        <w:rPr>
          <w:rFonts w:ascii="Arial" w:eastAsia="Arial" w:hAnsi="Arial" w:cs="Arial"/>
          <w:sz w:val="24"/>
          <w:szCs w:val="24"/>
        </w:rPr>
        <w:t>,</w:t>
      </w:r>
      <w:r>
        <w:rPr>
          <w:rFonts w:ascii="Arial" w:eastAsia="Arial" w:hAnsi="Arial" w:cs="Arial"/>
          <w:sz w:val="24"/>
          <w:szCs w:val="24"/>
        </w:rPr>
        <w:t xml:space="preserve"> </w:t>
      </w:r>
      <w:r w:rsidR="004F6FED">
        <w:rPr>
          <w:rFonts w:ascii="Arial" w:eastAsia="Arial" w:hAnsi="Arial" w:cs="Arial"/>
          <w:sz w:val="24"/>
          <w:szCs w:val="24"/>
        </w:rPr>
        <w:t xml:space="preserve">y se </w:t>
      </w:r>
      <w:r>
        <w:rPr>
          <w:rFonts w:ascii="Arial" w:eastAsia="Arial" w:hAnsi="Arial" w:cs="Arial"/>
          <w:sz w:val="24"/>
          <w:szCs w:val="24"/>
        </w:rPr>
        <w:t>analiz</w:t>
      </w:r>
      <w:r w:rsidR="004F6FED">
        <w:rPr>
          <w:rFonts w:ascii="Arial" w:eastAsia="Arial" w:hAnsi="Arial" w:cs="Arial"/>
          <w:sz w:val="24"/>
          <w:szCs w:val="24"/>
        </w:rPr>
        <w:t>ó</w:t>
      </w:r>
      <w:r>
        <w:rPr>
          <w:rFonts w:ascii="Arial" w:eastAsia="Arial" w:hAnsi="Arial" w:cs="Arial"/>
          <w:sz w:val="24"/>
          <w:szCs w:val="24"/>
        </w:rPr>
        <w:t xml:space="preserve"> un total de 2,204 pacientes. </w:t>
      </w:r>
      <w:r w:rsidR="009B1DDD">
        <w:rPr>
          <w:rFonts w:ascii="Arial" w:eastAsia="Arial" w:hAnsi="Arial" w:cs="Arial"/>
          <w:sz w:val="24"/>
          <w:szCs w:val="24"/>
        </w:rPr>
        <w:t>Con los ECA e</w:t>
      </w:r>
      <w:r>
        <w:rPr>
          <w:rFonts w:ascii="Arial" w:eastAsia="Arial" w:hAnsi="Arial" w:cs="Arial"/>
          <w:sz w:val="24"/>
          <w:szCs w:val="24"/>
        </w:rPr>
        <w:t xml:space="preserve">ncontramos que </w:t>
      </w:r>
      <w:r w:rsidRPr="5141EA98">
        <w:rPr>
          <w:rFonts w:ascii="Arial" w:eastAsia="Arial" w:hAnsi="Arial" w:cs="Arial"/>
          <w:sz w:val="24"/>
          <w:szCs w:val="24"/>
        </w:rPr>
        <w:t xml:space="preserve">la combinación rifapentina/isoniazida fue comparable a la isoniazida sola en cuanto a eficacia en la prevención de TB activa en personas que viven con VIH (baja certeza de la evidencia). </w:t>
      </w:r>
      <w:r>
        <w:rPr>
          <w:rFonts w:ascii="Arial" w:eastAsia="Arial" w:hAnsi="Arial" w:cs="Arial"/>
          <w:sz w:val="24"/>
          <w:szCs w:val="24"/>
        </w:rPr>
        <w:t xml:space="preserve">Adicionalmente, </w:t>
      </w:r>
      <w:r w:rsidR="00943511">
        <w:rPr>
          <w:rFonts w:ascii="Arial" w:eastAsia="Arial" w:hAnsi="Arial" w:cs="Arial"/>
          <w:sz w:val="24"/>
          <w:szCs w:val="24"/>
        </w:rPr>
        <w:t>existe más riesgo de hepatotoxicidad en el grupo de isoniazida sola (baja certeza). A</w:t>
      </w:r>
      <w:r>
        <w:rPr>
          <w:rFonts w:ascii="Arial" w:eastAsia="Arial" w:hAnsi="Arial" w:cs="Arial"/>
          <w:sz w:val="24"/>
          <w:szCs w:val="24"/>
        </w:rPr>
        <w:t>l parecer no hay diferencia entre ambos regímenes en cuanto a cumplimiento del tratamiento (muy baja certeza en la evidencia)</w:t>
      </w:r>
      <w:r w:rsidR="00943511">
        <w:rPr>
          <w:rFonts w:ascii="Arial" w:eastAsia="Arial" w:hAnsi="Arial" w:cs="Arial"/>
          <w:sz w:val="24"/>
          <w:szCs w:val="24"/>
        </w:rPr>
        <w:t xml:space="preserve">.  </w:t>
      </w:r>
      <w:r w:rsidR="00295943">
        <w:rPr>
          <w:rFonts w:ascii="Arial" w:eastAsia="Arial" w:hAnsi="Arial" w:cs="Arial"/>
          <w:sz w:val="24"/>
          <w:szCs w:val="24"/>
        </w:rPr>
        <w:t xml:space="preserve">Los datos extraídos de los estudios de cohortes fueron </w:t>
      </w:r>
      <w:r w:rsidR="00295943">
        <w:rPr>
          <w:rFonts w:ascii="Arial" w:eastAsia="Arial" w:hAnsi="Arial" w:cs="Arial"/>
          <w:sz w:val="24"/>
          <w:szCs w:val="24"/>
        </w:rPr>
        <w:lastRenderedPageBreak/>
        <w:t>escasos, sin diferencia entre ambos regímenes en cuanto a cumplimiento del tratamiento (muy baja certeza en la evidencia).</w:t>
      </w:r>
    </w:p>
    <w:p w14:paraId="3E198B80" w14:textId="77777777" w:rsidR="00803D17" w:rsidRDefault="00803D17" w:rsidP="00DC1AB9">
      <w:pPr>
        <w:spacing w:after="0" w:line="240" w:lineRule="auto"/>
        <w:jc w:val="both"/>
        <w:rPr>
          <w:rFonts w:ascii="Arial" w:eastAsia="Arial" w:hAnsi="Arial" w:cs="Arial"/>
          <w:sz w:val="24"/>
          <w:szCs w:val="24"/>
        </w:rPr>
      </w:pPr>
    </w:p>
    <w:p w14:paraId="6E99BFF8" w14:textId="3057A6A3" w:rsidR="00943511" w:rsidRPr="0014533D" w:rsidRDefault="00803D17" w:rsidP="00DC1AB9">
      <w:pPr>
        <w:spacing w:after="0" w:line="360" w:lineRule="auto"/>
        <w:ind w:firstLine="680"/>
        <w:jc w:val="both"/>
        <w:rPr>
          <w:rFonts w:ascii="Arial" w:eastAsia="Arial" w:hAnsi="Arial" w:cs="Arial"/>
          <w:sz w:val="24"/>
          <w:szCs w:val="24"/>
        </w:rPr>
      </w:pPr>
      <w:r w:rsidRPr="005F19E9">
        <w:rPr>
          <w:rFonts w:ascii="Arial" w:eastAsia="Arial" w:hAnsi="Arial" w:cs="Arial"/>
          <w:sz w:val="24"/>
          <w:szCs w:val="24"/>
        </w:rPr>
        <w:t>No obstante, en el desenlace TB activa la evidencia tuvo baja certeza por riesgo de sesgos y por heterogeneidad estadística</w:t>
      </w:r>
      <w:r w:rsidRPr="00081C8F">
        <w:rPr>
          <w:rFonts w:ascii="Arial" w:eastAsia="Arial" w:hAnsi="Arial" w:cs="Arial"/>
          <w:sz w:val="24"/>
          <w:szCs w:val="24"/>
        </w:rPr>
        <w:t xml:space="preserve">. La variabilidad clínica entre los estudios podría explicar la heterogeneidad, debido a: diferencias entre los estudios en cuanto </w:t>
      </w:r>
      <w:r w:rsidR="008F3696" w:rsidRPr="00081C8F">
        <w:rPr>
          <w:rFonts w:ascii="Arial" w:eastAsia="Arial" w:hAnsi="Arial" w:cs="Arial"/>
          <w:sz w:val="24"/>
          <w:szCs w:val="24"/>
        </w:rPr>
        <w:t xml:space="preserve">al </w:t>
      </w:r>
      <w:r w:rsidR="00C563E3" w:rsidRPr="00081C8F">
        <w:rPr>
          <w:rFonts w:ascii="Arial" w:eastAsia="Arial" w:hAnsi="Arial" w:cs="Arial"/>
          <w:sz w:val="24"/>
          <w:szCs w:val="24"/>
        </w:rPr>
        <w:t xml:space="preserve">sexo </w:t>
      </w:r>
      <w:r w:rsidRPr="00081C8F">
        <w:rPr>
          <w:rFonts w:ascii="Arial" w:eastAsia="Arial" w:hAnsi="Arial" w:cs="Arial"/>
          <w:sz w:val="24"/>
          <w:szCs w:val="24"/>
        </w:rPr>
        <w:t>de los pacientes (proporción de pacientes de sexo masculino vs</w:t>
      </w:r>
      <w:r w:rsidR="008F3696" w:rsidRPr="00081C8F">
        <w:rPr>
          <w:rFonts w:ascii="Arial" w:eastAsia="Arial" w:hAnsi="Arial" w:cs="Arial"/>
          <w:sz w:val="24"/>
          <w:szCs w:val="24"/>
        </w:rPr>
        <w:t>.</w:t>
      </w:r>
      <w:r w:rsidRPr="00081C8F">
        <w:rPr>
          <w:rFonts w:ascii="Arial" w:eastAsia="Arial" w:hAnsi="Arial" w:cs="Arial"/>
          <w:sz w:val="24"/>
          <w:szCs w:val="24"/>
        </w:rPr>
        <w:t xml:space="preserve"> femenino), conteo de CD4+, y proporción de pacientes que recibían tratamiento antirretroviral. Adicionalmente, la alta heterogeneidad también puede deberse a razones metodológicas como diferencias en los tiempos de seguimiento, la forma de administración y duración del tratamiento.</w:t>
      </w:r>
      <w:r w:rsidR="00720DAE" w:rsidRPr="00081C8F">
        <w:rPr>
          <w:rFonts w:ascii="Arial" w:eastAsia="Arial" w:hAnsi="Arial" w:cs="Arial"/>
          <w:sz w:val="24"/>
          <w:szCs w:val="24"/>
        </w:rPr>
        <w:t xml:space="preserve"> </w:t>
      </w:r>
      <w:r w:rsidR="00943511" w:rsidRPr="00081C8F">
        <w:rPr>
          <w:rFonts w:ascii="Arial" w:eastAsia="Arial" w:hAnsi="Arial" w:cs="Arial"/>
          <w:sz w:val="24"/>
          <w:szCs w:val="24"/>
        </w:rPr>
        <w:t xml:space="preserve">A pesar que se consideró la variabilidad debido al tiempo de seguimiento de 2 a 5 años, los estudios incluidos no exponían detalles al respecto. Como la mayoría de los participantes </w:t>
      </w:r>
      <w:r w:rsidR="00295943" w:rsidRPr="00081C8F">
        <w:rPr>
          <w:rFonts w:ascii="Arial" w:eastAsia="Arial" w:hAnsi="Arial" w:cs="Arial"/>
          <w:sz w:val="24"/>
          <w:szCs w:val="24"/>
        </w:rPr>
        <w:t xml:space="preserve">de los 3 ECA </w:t>
      </w:r>
      <w:r w:rsidR="00943511" w:rsidRPr="00081C8F">
        <w:rPr>
          <w:rFonts w:ascii="Arial" w:eastAsia="Arial" w:hAnsi="Arial" w:cs="Arial"/>
          <w:sz w:val="24"/>
          <w:szCs w:val="24"/>
        </w:rPr>
        <w:t xml:space="preserve">fueron seguidos aproximadamente por 3 años, se realizó un análisis post hoc agrupando los estudios en el lapso de tiempo de seguimiento de 2 a 5 años. </w:t>
      </w:r>
      <w:r w:rsidR="002C5246" w:rsidRPr="00081C8F">
        <w:rPr>
          <w:rFonts w:ascii="Arial" w:eastAsia="Arial" w:hAnsi="Arial" w:cs="Arial"/>
          <w:sz w:val="24"/>
          <w:szCs w:val="24"/>
        </w:rPr>
        <w:t>También tomamos en cuenta que algunas investigaciones previas plantean que el tiempo mínimo de protección contra la reactivación de la TB es de aproximadamente 3 años</w:t>
      </w:r>
      <w:r w:rsidR="00563D2B" w:rsidRPr="00081C8F">
        <w:rPr>
          <w:rFonts w:ascii="Arial" w:eastAsia="Arial" w:hAnsi="Arial" w:cs="Arial"/>
          <w:sz w:val="24"/>
          <w:szCs w:val="24"/>
        </w:rPr>
        <w:t xml:space="preserve"> (3)</w:t>
      </w:r>
      <w:r w:rsidR="002C5246" w:rsidRPr="00081C8F">
        <w:rPr>
          <w:rFonts w:ascii="Arial" w:eastAsia="Arial" w:hAnsi="Arial" w:cs="Arial"/>
          <w:sz w:val="24"/>
          <w:szCs w:val="24"/>
        </w:rPr>
        <w:t>. Sin embargo, esto limita los resultados de esta investigación.</w:t>
      </w:r>
    </w:p>
    <w:p w14:paraId="068EE954" w14:textId="77777777" w:rsidR="00803D17" w:rsidRDefault="00803D17" w:rsidP="00DC1AB9">
      <w:pPr>
        <w:spacing w:after="0" w:line="240" w:lineRule="auto"/>
        <w:ind w:firstLine="680"/>
        <w:jc w:val="both"/>
        <w:rPr>
          <w:rFonts w:ascii="Arial" w:eastAsia="Arial" w:hAnsi="Arial" w:cs="Arial"/>
          <w:sz w:val="24"/>
          <w:szCs w:val="24"/>
        </w:rPr>
      </w:pPr>
    </w:p>
    <w:p w14:paraId="3399F2E4" w14:textId="2DA07AC1" w:rsidR="00803D17" w:rsidRDefault="00803D17" w:rsidP="00DC1AB9">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Hasta el momento no están disponibles otras revisiones sistemáticas con metaanálisis que aborden la pregunta de esta revisión</w:t>
      </w:r>
      <w:r w:rsidR="008F3696">
        <w:rPr>
          <w:rFonts w:ascii="Arial" w:eastAsia="Arial" w:hAnsi="Arial" w:cs="Arial"/>
          <w:sz w:val="24"/>
          <w:szCs w:val="24"/>
        </w:rPr>
        <w:t>,</w:t>
      </w:r>
      <w:r w:rsidRPr="5141EA98">
        <w:rPr>
          <w:rFonts w:ascii="Arial" w:eastAsia="Arial" w:hAnsi="Arial" w:cs="Arial"/>
          <w:sz w:val="24"/>
          <w:szCs w:val="24"/>
        </w:rPr>
        <w:t xml:space="preserve"> específicamente en personas con inmunodepresión secundaria, pero los metaanálisis en red que incluyen personas en riesgo de TB activa (con y sin inmunodepresión) encontraron una menor probabilidad de desarrollar TB activa en el grupo de rifapentina/isoniazida comparada con isoniazida sola</w:t>
      </w:r>
      <w:r>
        <w:rPr>
          <w:rFonts w:ascii="Arial" w:eastAsia="Arial" w:hAnsi="Arial" w:cs="Arial"/>
          <w:sz w:val="24"/>
          <w:szCs w:val="24"/>
        </w:rPr>
        <w:t>,</w:t>
      </w:r>
      <w:r w:rsidRPr="5141EA98">
        <w:rPr>
          <w:rFonts w:ascii="Arial" w:eastAsia="Arial" w:hAnsi="Arial" w:cs="Arial"/>
          <w:sz w:val="24"/>
          <w:szCs w:val="24"/>
        </w:rPr>
        <w:t xml:space="preserve"> y al realizar el análisis de sensibilidad no hallaron evidencia </w:t>
      </w:r>
      <w:r>
        <w:rPr>
          <w:rFonts w:ascii="Arial" w:eastAsia="Arial" w:hAnsi="Arial" w:cs="Arial"/>
          <w:sz w:val="24"/>
          <w:szCs w:val="24"/>
        </w:rPr>
        <w:t xml:space="preserve">de </w:t>
      </w:r>
      <w:r w:rsidRPr="5141EA98">
        <w:rPr>
          <w:rFonts w:ascii="Arial" w:eastAsia="Arial" w:hAnsi="Arial" w:cs="Arial"/>
          <w:sz w:val="24"/>
          <w:szCs w:val="24"/>
        </w:rPr>
        <w:t>que la</w:t>
      </w:r>
      <w:r>
        <w:rPr>
          <w:rFonts w:ascii="Arial" w:eastAsia="Arial" w:hAnsi="Arial" w:cs="Arial"/>
          <w:sz w:val="24"/>
          <w:szCs w:val="24"/>
        </w:rPr>
        <w:t xml:space="preserve"> </w:t>
      </w:r>
      <w:r w:rsidRPr="5141EA98">
        <w:rPr>
          <w:rFonts w:ascii="Arial" w:eastAsia="Arial" w:hAnsi="Arial" w:cs="Arial"/>
          <w:sz w:val="24"/>
          <w:szCs w:val="24"/>
        </w:rPr>
        <w:t>infección por VIH modifique el efecto.</w:t>
      </w:r>
      <w:r w:rsidR="00720DAE">
        <w:rPr>
          <w:rFonts w:ascii="Arial" w:eastAsia="Arial" w:hAnsi="Arial" w:cs="Arial"/>
          <w:sz w:val="24"/>
          <w:szCs w:val="24"/>
        </w:rPr>
        <w:t xml:space="preserve"> </w:t>
      </w:r>
      <w:r>
        <w:rPr>
          <w:rFonts w:ascii="Arial" w:eastAsia="Arial" w:hAnsi="Arial" w:cs="Arial"/>
          <w:sz w:val="24"/>
          <w:szCs w:val="24"/>
        </w:rPr>
        <w:t>El estudio de</w:t>
      </w:r>
      <w:r w:rsidRPr="5141EA98">
        <w:rPr>
          <w:rFonts w:ascii="Arial" w:eastAsia="Arial" w:hAnsi="Arial" w:cs="Arial"/>
          <w:sz w:val="24"/>
          <w:szCs w:val="24"/>
        </w:rPr>
        <w:t xml:space="preserve"> Stagg y colaboradores (</w:t>
      </w:r>
      <w:r>
        <w:rPr>
          <w:rFonts w:ascii="Arial" w:eastAsia="Arial" w:hAnsi="Arial" w:cs="Arial"/>
          <w:sz w:val="24"/>
          <w:szCs w:val="24"/>
        </w:rPr>
        <w:t>2</w:t>
      </w:r>
      <w:r w:rsidR="0007291B">
        <w:rPr>
          <w:rFonts w:ascii="Arial" w:eastAsia="Arial" w:hAnsi="Arial" w:cs="Arial"/>
          <w:sz w:val="24"/>
          <w:szCs w:val="24"/>
        </w:rPr>
        <w:t>2</w:t>
      </w:r>
      <w:r w:rsidRPr="5141EA98">
        <w:rPr>
          <w:rFonts w:ascii="Arial" w:eastAsia="Arial" w:hAnsi="Arial" w:cs="Arial"/>
          <w:sz w:val="24"/>
          <w:szCs w:val="24"/>
        </w:rPr>
        <w:t>)</w:t>
      </w:r>
      <w:r>
        <w:rPr>
          <w:rFonts w:ascii="Arial" w:eastAsia="Arial" w:hAnsi="Arial" w:cs="Arial"/>
          <w:sz w:val="24"/>
          <w:szCs w:val="24"/>
        </w:rPr>
        <w:t>, actualizado por</w:t>
      </w:r>
      <w:r w:rsidRPr="5141EA98">
        <w:rPr>
          <w:rFonts w:ascii="Arial" w:eastAsia="Arial" w:hAnsi="Arial" w:cs="Arial"/>
          <w:sz w:val="24"/>
          <w:szCs w:val="24"/>
        </w:rPr>
        <w:t xml:space="preserve"> Zenner y colaboradores (</w:t>
      </w:r>
      <w:r>
        <w:rPr>
          <w:rFonts w:ascii="Arial" w:eastAsia="Arial" w:hAnsi="Arial" w:cs="Arial"/>
          <w:sz w:val="24"/>
          <w:szCs w:val="24"/>
        </w:rPr>
        <w:t>2</w:t>
      </w:r>
      <w:r w:rsidR="0007291B">
        <w:rPr>
          <w:rFonts w:ascii="Arial" w:eastAsia="Arial" w:hAnsi="Arial" w:cs="Arial"/>
          <w:sz w:val="24"/>
          <w:szCs w:val="24"/>
        </w:rPr>
        <w:t>3</w:t>
      </w:r>
      <w:r w:rsidRPr="5141EA98">
        <w:rPr>
          <w:rFonts w:ascii="Arial" w:eastAsia="Arial" w:hAnsi="Arial" w:cs="Arial"/>
          <w:sz w:val="24"/>
          <w:szCs w:val="24"/>
        </w:rPr>
        <w:t xml:space="preserve">) halló que la comparación directa fue </w:t>
      </w:r>
      <w:r w:rsidRPr="00E30F06">
        <w:rPr>
          <w:rFonts w:ascii="Arial" w:eastAsia="Arial" w:hAnsi="Arial" w:cs="Arial"/>
          <w:sz w:val="24"/>
          <w:szCs w:val="24"/>
        </w:rPr>
        <w:t xml:space="preserve">a </w:t>
      </w:r>
      <w:r w:rsidRPr="00B72118">
        <w:rPr>
          <w:rFonts w:ascii="Arial" w:eastAsia="Arial" w:hAnsi="Arial" w:cs="Arial"/>
          <w:sz w:val="24"/>
          <w:szCs w:val="24"/>
        </w:rPr>
        <w:t>favor</w:t>
      </w:r>
      <w:r w:rsidRPr="5141EA98">
        <w:rPr>
          <w:rFonts w:ascii="Arial" w:eastAsia="Arial" w:hAnsi="Arial" w:cs="Arial"/>
          <w:sz w:val="24"/>
          <w:szCs w:val="24"/>
        </w:rPr>
        <w:t xml:space="preserve"> de la rifapentina/isoniazida (OR: 0.44 IC</w:t>
      </w:r>
      <w:r>
        <w:rPr>
          <w:rFonts w:ascii="Arial" w:eastAsia="Arial" w:hAnsi="Arial" w:cs="Arial"/>
          <w:sz w:val="24"/>
          <w:szCs w:val="24"/>
        </w:rPr>
        <w:t>95%</w:t>
      </w:r>
      <w:r w:rsidRPr="5141EA98">
        <w:rPr>
          <w:rFonts w:ascii="Arial" w:eastAsia="Arial" w:hAnsi="Arial" w:cs="Arial"/>
          <w:sz w:val="24"/>
          <w:szCs w:val="24"/>
        </w:rPr>
        <w:t xml:space="preserve"> 0.18</w:t>
      </w:r>
      <w:r>
        <w:rPr>
          <w:rFonts w:ascii="Arial" w:eastAsia="Arial" w:hAnsi="Arial" w:cs="Arial"/>
          <w:sz w:val="24"/>
          <w:szCs w:val="24"/>
        </w:rPr>
        <w:t xml:space="preserve">; </w:t>
      </w:r>
      <w:r w:rsidRPr="5141EA98">
        <w:rPr>
          <w:rFonts w:ascii="Arial" w:eastAsia="Arial" w:hAnsi="Arial" w:cs="Arial"/>
          <w:sz w:val="24"/>
          <w:szCs w:val="24"/>
        </w:rPr>
        <w:t>1.07).</w:t>
      </w:r>
      <w:r w:rsidR="00720DAE">
        <w:rPr>
          <w:rFonts w:ascii="Arial" w:eastAsia="Arial" w:hAnsi="Arial" w:cs="Arial"/>
          <w:sz w:val="24"/>
          <w:szCs w:val="24"/>
        </w:rPr>
        <w:t xml:space="preserve"> </w:t>
      </w:r>
      <w:r w:rsidRPr="5141EA98">
        <w:rPr>
          <w:rFonts w:ascii="Arial" w:eastAsia="Arial" w:hAnsi="Arial" w:cs="Arial"/>
          <w:sz w:val="24"/>
          <w:szCs w:val="24"/>
        </w:rPr>
        <w:t xml:space="preserve">Asimismo, </w:t>
      </w:r>
      <w:r>
        <w:rPr>
          <w:rFonts w:ascii="Arial" w:eastAsia="Arial" w:hAnsi="Arial" w:cs="Arial"/>
          <w:sz w:val="24"/>
          <w:szCs w:val="24"/>
        </w:rPr>
        <w:t>el estudio de</w:t>
      </w:r>
      <w:r w:rsidRPr="5141EA98">
        <w:rPr>
          <w:rFonts w:ascii="Arial" w:eastAsia="Arial" w:hAnsi="Arial" w:cs="Arial"/>
          <w:sz w:val="24"/>
          <w:szCs w:val="24"/>
        </w:rPr>
        <w:t xml:space="preserve"> Pease y colaboradores (</w:t>
      </w:r>
      <w:r>
        <w:rPr>
          <w:rFonts w:ascii="Arial" w:eastAsia="Arial" w:hAnsi="Arial" w:cs="Arial"/>
          <w:sz w:val="24"/>
          <w:szCs w:val="24"/>
        </w:rPr>
        <w:t>2</w:t>
      </w:r>
      <w:r w:rsidR="0007291B">
        <w:rPr>
          <w:rFonts w:ascii="Arial" w:eastAsia="Arial" w:hAnsi="Arial" w:cs="Arial"/>
          <w:sz w:val="24"/>
          <w:szCs w:val="24"/>
        </w:rPr>
        <w:t>4</w:t>
      </w:r>
      <w:r w:rsidRPr="5141EA98">
        <w:rPr>
          <w:rFonts w:ascii="Arial" w:eastAsia="Arial" w:hAnsi="Arial" w:cs="Arial"/>
          <w:sz w:val="24"/>
          <w:szCs w:val="24"/>
        </w:rPr>
        <w:t xml:space="preserve">) encontró que la comparación directa fue </w:t>
      </w:r>
      <w:r w:rsidRPr="00E30F06">
        <w:rPr>
          <w:rFonts w:ascii="Arial" w:eastAsia="Arial" w:hAnsi="Arial" w:cs="Arial"/>
          <w:sz w:val="24"/>
          <w:szCs w:val="24"/>
        </w:rPr>
        <w:t>a favor</w:t>
      </w:r>
      <w:r w:rsidRPr="5141EA98">
        <w:rPr>
          <w:rFonts w:ascii="Arial" w:eastAsia="Arial" w:hAnsi="Arial" w:cs="Arial"/>
          <w:sz w:val="24"/>
          <w:szCs w:val="24"/>
        </w:rPr>
        <w:t xml:space="preserve"> de la rifapentina/isoniazida (RR: 0.71, IC</w:t>
      </w:r>
      <w:r>
        <w:rPr>
          <w:rFonts w:ascii="Arial" w:eastAsia="Arial" w:hAnsi="Arial" w:cs="Arial"/>
          <w:sz w:val="24"/>
          <w:szCs w:val="24"/>
        </w:rPr>
        <w:t>95%</w:t>
      </w:r>
      <w:r w:rsidRPr="5141EA98">
        <w:rPr>
          <w:rFonts w:ascii="Arial" w:eastAsia="Arial" w:hAnsi="Arial" w:cs="Arial"/>
          <w:sz w:val="24"/>
          <w:szCs w:val="24"/>
        </w:rPr>
        <w:t xml:space="preserve"> 0</w:t>
      </w:r>
      <w:r>
        <w:rPr>
          <w:rFonts w:ascii="Arial" w:eastAsia="Arial" w:hAnsi="Arial" w:cs="Arial"/>
          <w:sz w:val="24"/>
          <w:szCs w:val="24"/>
        </w:rPr>
        <w:t>.</w:t>
      </w:r>
      <w:r w:rsidRPr="5141EA98">
        <w:rPr>
          <w:rFonts w:ascii="Arial" w:eastAsia="Arial" w:hAnsi="Arial" w:cs="Arial"/>
          <w:sz w:val="24"/>
          <w:szCs w:val="24"/>
        </w:rPr>
        <w:t>25</w:t>
      </w:r>
      <w:r>
        <w:rPr>
          <w:rFonts w:ascii="Arial" w:eastAsia="Arial" w:hAnsi="Arial" w:cs="Arial"/>
          <w:sz w:val="24"/>
          <w:szCs w:val="24"/>
        </w:rPr>
        <w:t xml:space="preserve">; </w:t>
      </w:r>
      <w:r w:rsidRPr="5141EA98">
        <w:rPr>
          <w:rFonts w:ascii="Arial" w:eastAsia="Arial" w:hAnsi="Arial" w:cs="Arial"/>
          <w:sz w:val="24"/>
          <w:szCs w:val="24"/>
        </w:rPr>
        <w:t>3</w:t>
      </w:r>
      <w:r>
        <w:rPr>
          <w:rFonts w:ascii="Arial" w:eastAsia="Arial" w:hAnsi="Arial" w:cs="Arial"/>
          <w:sz w:val="24"/>
          <w:szCs w:val="24"/>
        </w:rPr>
        <w:t>.</w:t>
      </w:r>
      <w:r w:rsidRPr="5141EA98">
        <w:rPr>
          <w:rFonts w:ascii="Arial" w:eastAsia="Arial" w:hAnsi="Arial" w:cs="Arial"/>
          <w:sz w:val="24"/>
          <w:szCs w:val="24"/>
        </w:rPr>
        <w:t>08).</w:t>
      </w:r>
      <w:r>
        <w:rPr>
          <w:rFonts w:ascii="Arial" w:eastAsia="Arial" w:hAnsi="Arial" w:cs="Arial"/>
          <w:sz w:val="24"/>
          <w:szCs w:val="24"/>
        </w:rPr>
        <w:t xml:space="preserve"> Al realizar el análisis por subgrupos en personas que viven con VIH el estudio realizado por Gibril y colaboradores (2</w:t>
      </w:r>
      <w:r w:rsidR="00976B1C">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sz w:val="24"/>
          <w:szCs w:val="24"/>
        </w:rPr>
        <w:lastRenderedPageBreak/>
        <w:t xml:space="preserve">reportó menor oportunidad de TB activa en el grupo de rifapentina/isoniazida (OR: </w:t>
      </w:r>
      <w:r w:rsidRPr="0057767D">
        <w:rPr>
          <w:rFonts w:ascii="Arial" w:eastAsia="Arial" w:hAnsi="Arial" w:cs="Arial"/>
          <w:sz w:val="24"/>
          <w:szCs w:val="24"/>
        </w:rPr>
        <w:t>0.74</w:t>
      </w:r>
      <w:r>
        <w:rPr>
          <w:rFonts w:ascii="Arial" w:eastAsia="Arial" w:hAnsi="Arial" w:cs="Arial"/>
          <w:sz w:val="24"/>
          <w:szCs w:val="24"/>
        </w:rPr>
        <w:t xml:space="preserve">, IC95% </w:t>
      </w:r>
      <w:r w:rsidRPr="0057767D">
        <w:rPr>
          <w:rFonts w:ascii="Arial" w:eastAsia="Arial" w:hAnsi="Arial" w:cs="Arial"/>
          <w:sz w:val="24"/>
          <w:szCs w:val="24"/>
        </w:rPr>
        <w:t>0.23</w:t>
      </w:r>
      <w:r>
        <w:rPr>
          <w:rFonts w:ascii="Arial" w:eastAsia="Arial" w:hAnsi="Arial" w:cs="Arial"/>
          <w:sz w:val="24"/>
          <w:szCs w:val="24"/>
        </w:rPr>
        <w:t xml:space="preserve">; </w:t>
      </w:r>
      <w:r w:rsidRPr="0057767D">
        <w:rPr>
          <w:rFonts w:ascii="Arial" w:eastAsia="Arial" w:hAnsi="Arial" w:cs="Arial"/>
          <w:sz w:val="24"/>
          <w:szCs w:val="24"/>
        </w:rPr>
        <w:t>2.43)</w:t>
      </w:r>
      <w:r>
        <w:rPr>
          <w:rFonts w:ascii="Arial" w:eastAsia="Arial" w:hAnsi="Arial" w:cs="Arial"/>
          <w:sz w:val="24"/>
          <w:szCs w:val="24"/>
        </w:rPr>
        <w:t>.</w:t>
      </w:r>
    </w:p>
    <w:p w14:paraId="3407D139" w14:textId="77777777" w:rsidR="00803D17" w:rsidRDefault="00803D17" w:rsidP="00DC1AB9">
      <w:pPr>
        <w:spacing w:after="0" w:line="240" w:lineRule="auto"/>
        <w:ind w:firstLine="680"/>
        <w:jc w:val="both"/>
        <w:rPr>
          <w:rFonts w:ascii="Arial" w:eastAsia="Arial" w:hAnsi="Arial" w:cs="Arial"/>
          <w:sz w:val="24"/>
          <w:szCs w:val="24"/>
        </w:rPr>
      </w:pPr>
    </w:p>
    <w:p w14:paraId="2AF23A9F" w14:textId="51C12BB8" w:rsidR="00803D17" w:rsidRDefault="008F3696" w:rsidP="00DC1AB9">
      <w:pPr>
        <w:spacing w:after="0" w:line="360" w:lineRule="auto"/>
        <w:ind w:firstLine="680"/>
        <w:jc w:val="both"/>
        <w:rPr>
          <w:rFonts w:ascii="Arial" w:eastAsia="Arial" w:hAnsi="Arial" w:cs="Arial"/>
          <w:sz w:val="24"/>
          <w:szCs w:val="24"/>
        </w:rPr>
      </w:pPr>
      <w:r>
        <w:rPr>
          <w:rFonts w:ascii="Arial" w:eastAsia="Arial" w:hAnsi="Arial" w:cs="Arial"/>
          <w:sz w:val="24"/>
          <w:szCs w:val="24"/>
        </w:rPr>
        <w:t>De igual forma, s</w:t>
      </w:r>
      <w:r w:rsidR="00803D17">
        <w:rPr>
          <w:rFonts w:ascii="Arial" w:eastAsia="Arial" w:hAnsi="Arial" w:cs="Arial"/>
          <w:sz w:val="24"/>
          <w:szCs w:val="24"/>
        </w:rPr>
        <w:t>e</w:t>
      </w:r>
      <w:r w:rsidR="00803D17" w:rsidRPr="5141EA98">
        <w:rPr>
          <w:rFonts w:ascii="Arial" w:eastAsia="Arial" w:hAnsi="Arial" w:cs="Arial"/>
          <w:sz w:val="24"/>
          <w:szCs w:val="24"/>
        </w:rPr>
        <w:t xml:space="preserve"> encontr</w:t>
      </w:r>
      <w:r w:rsidR="00803D17">
        <w:rPr>
          <w:rFonts w:ascii="Arial" w:eastAsia="Arial" w:hAnsi="Arial" w:cs="Arial"/>
          <w:sz w:val="24"/>
          <w:szCs w:val="24"/>
        </w:rPr>
        <w:t xml:space="preserve">ó </w:t>
      </w:r>
      <w:r w:rsidR="00803D17" w:rsidRPr="5141EA98">
        <w:rPr>
          <w:rFonts w:ascii="Arial" w:eastAsia="Arial" w:hAnsi="Arial" w:cs="Arial"/>
          <w:sz w:val="24"/>
          <w:szCs w:val="24"/>
        </w:rPr>
        <w:t>menor riesgo de hepatotoxicidad ≥ grado 3 en personas que viven con VIH con rifapentina/isoniazida (baja certeza de la evidencia)</w:t>
      </w:r>
      <w:r w:rsidR="00803D17">
        <w:rPr>
          <w:rFonts w:ascii="Arial" w:eastAsia="Arial" w:hAnsi="Arial" w:cs="Arial"/>
          <w:sz w:val="24"/>
          <w:szCs w:val="24"/>
        </w:rPr>
        <w:t>.</w:t>
      </w:r>
      <w:r w:rsidR="00803D17" w:rsidRPr="5141EA98">
        <w:rPr>
          <w:rFonts w:ascii="Arial" w:eastAsia="Arial" w:hAnsi="Arial" w:cs="Arial"/>
          <w:sz w:val="24"/>
          <w:szCs w:val="24"/>
        </w:rPr>
        <w:t xml:space="preserve"> </w:t>
      </w:r>
      <w:r w:rsidR="00803D17">
        <w:rPr>
          <w:rFonts w:ascii="Arial" w:eastAsia="Arial" w:hAnsi="Arial" w:cs="Arial"/>
          <w:sz w:val="24"/>
          <w:szCs w:val="24"/>
        </w:rPr>
        <w:t xml:space="preserve">Este hallazgo coincide con lo encontrado por </w:t>
      </w:r>
      <w:r w:rsidR="00803D17" w:rsidRPr="5141EA98">
        <w:rPr>
          <w:rFonts w:ascii="Arial" w:eastAsia="Arial" w:hAnsi="Arial" w:cs="Arial"/>
          <w:sz w:val="24"/>
          <w:szCs w:val="24"/>
        </w:rPr>
        <w:t>Stagg y colaboradores (</w:t>
      </w:r>
      <w:r w:rsidR="00803D17">
        <w:rPr>
          <w:rFonts w:ascii="Arial" w:eastAsia="Arial" w:hAnsi="Arial" w:cs="Arial"/>
          <w:sz w:val="24"/>
          <w:szCs w:val="24"/>
        </w:rPr>
        <w:t>2</w:t>
      </w:r>
      <w:r w:rsidR="00976B1C">
        <w:rPr>
          <w:rFonts w:ascii="Arial" w:eastAsia="Arial" w:hAnsi="Arial" w:cs="Arial"/>
          <w:sz w:val="24"/>
          <w:szCs w:val="24"/>
        </w:rPr>
        <w:t>2</w:t>
      </w:r>
      <w:r w:rsidR="00803D17" w:rsidRPr="5141EA98">
        <w:rPr>
          <w:rFonts w:ascii="Arial" w:eastAsia="Arial" w:hAnsi="Arial" w:cs="Arial"/>
          <w:sz w:val="24"/>
          <w:szCs w:val="24"/>
        </w:rPr>
        <w:t>)</w:t>
      </w:r>
      <w:r w:rsidR="00803D17">
        <w:rPr>
          <w:rFonts w:ascii="Arial" w:eastAsia="Arial" w:hAnsi="Arial" w:cs="Arial"/>
          <w:sz w:val="24"/>
          <w:szCs w:val="24"/>
        </w:rPr>
        <w:t xml:space="preserve">. </w:t>
      </w:r>
      <w:r w:rsidR="00803D17" w:rsidRPr="5141EA98" w:rsidDel="00DF6714">
        <w:rPr>
          <w:rFonts w:ascii="Arial" w:eastAsia="Arial" w:hAnsi="Arial" w:cs="Arial"/>
          <w:sz w:val="24"/>
          <w:szCs w:val="24"/>
        </w:rPr>
        <w:t>La hepatotoxicidad es una de las razones por las que se limita la prescripción de la isoniazida sola</w:t>
      </w:r>
      <w:r w:rsidR="00803D17">
        <w:rPr>
          <w:rFonts w:ascii="Arial" w:eastAsia="Arial" w:hAnsi="Arial" w:cs="Arial"/>
          <w:sz w:val="24"/>
          <w:szCs w:val="24"/>
        </w:rPr>
        <w:t xml:space="preserve"> de larga duración (3)</w:t>
      </w:r>
      <w:r w:rsidR="00803D17" w:rsidRPr="5141EA98" w:rsidDel="00DF6714">
        <w:rPr>
          <w:rFonts w:ascii="Arial" w:eastAsia="Arial" w:hAnsi="Arial" w:cs="Arial"/>
          <w:sz w:val="24"/>
          <w:szCs w:val="24"/>
        </w:rPr>
        <w:t>,</w:t>
      </w:r>
      <w:r w:rsidR="00803D17">
        <w:rPr>
          <w:rFonts w:ascii="Arial" w:eastAsia="Arial" w:hAnsi="Arial" w:cs="Arial"/>
          <w:sz w:val="24"/>
          <w:szCs w:val="24"/>
        </w:rPr>
        <w:t xml:space="preserve"> la cual puede ser causada por la acción de la </w:t>
      </w:r>
      <w:r w:rsidR="00803D17" w:rsidRPr="00835576">
        <w:rPr>
          <w:rFonts w:ascii="Arial" w:eastAsia="Arial" w:hAnsi="Arial" w:cs="Arial"/>
          <w:sz w:val="24"/>
          <w:szCs w:val="24"/>
        </w:rPr>
        <w:t>hidra</w:t>
      </w:r>
      <w:r w:rsidR="00803D17">
        <w:rPr>
          <w:rFonts w:ascii="Arial" w:eastAsia="Arial" w:hAnsi="Arial" w:cs="Arial"/>
          <w:sz w:val="24"/>
          <w:szCs w:val="24"/>
        </w:rPr>
        <w:t>z</w:t>
      </w:r>
      <w:r w:rsidR="00803D17" w:rsidRPr="00835576">
        <w:rPr>
          <w:rFonts w:ascii="Arial" w:eastAsia="Arial" w:hAnsi="Arial" w:cs="Arial"/>
          <w:sz w:val="24"/>
          <w:szCs w:val="24"/>
        </w:rPr>
        <w:t>ina monoacetil</w:t>
      </w:r>
      <w:r w:rsidR="00803D17">
        <w:rPr>
          <w:rFonts w:ascii="Arial" w:eastAsia="Arial" w:hAnsi="Arial" w:cs="Arial"/>
          <w:sz w:val="24"/>
          <w:szCs w:val="24"/>
        </w:rPr>
        <w:t xml:space="preserve"> que se genera en el metabolismo de la isoniazida, potenciada por la ingesta de alcohol y el polimorfismo genético (</w:t>
      </w:r>
      <w:r w:rsidR="00803D17" w:rsidRPr="00A85171">
        <w:rPr>
          <w:rFonts w:ascii="Arial" w:eastAsia="Arial" w:hAnsi="Arial" w:cs="Arial"/>
          <w:color w:val="000000" w:themeColor="text1"/>
          <w:sz w:val="24"/>
          <w:szCs w:val="24"/>
        </w:rPr>
        <w:t>26</w:t>
      </w:r>
      <w:r w:rsidR="00803D17">
        <w:rPr>
          <w:rFonts w:ascii="Arial" w:eastAsia="Arial" w:hAnsi="Arial" w:cs="Arial"/>
          <w:sz w:val="24"/>
          <w:szCs w:val="24"/>
        </w:rPr>
        <w:t>).</w:t>
      </w:r>
      <w:r w:rsidR="00803D17" w:rsidRPr="5141EA98" w:rsidDel="00DF6714">
        <w:rPr>
          <w:rFonts w:ascii="Arial" w:eastAsia="Arial" w:hAnsi="Arial" w:cs="Arial"/>
          <w:sz w:val="24"/>
          <w:szCs w:val="24"/>
        </w:rPr>
        <w:t xml:space="preserve"> </w:t>
      </w:r>
      <w:r>
        <w:rPr>
          <w:rFonts w:ascii="Arial" w:eastAsia="Arial" w:hAnsi="Arial" w:cs="Arial"/>
          <w:sz w:val="24"/>
          <w:szCs w:val="24"/>
        </w:rPr>
        <w:t>C</w:t>
      </w:r>
      <w:r w:rsidR="00803D17">
        <w:rPr>
          <w:rFonts w:ascii="Arial" w:eastAsia="Arial" w:hAnsi="Arial" w:cs="Arial"/>
          <w:sz w:val="24"/>
          <w:szCs w:val="24"/>
        </w:rPr>
        <w:t>ontrario</w:t>
      </w:r>
      <w:r>
        <w:rPr>
          <w:rFonts w:ascii="Arial" w:eastAsia="Arial" w:hAnsi="Arial" w:cs="Arial"/>
          <w:sz w:val="24"/>
          <w:szCs w:val="24"/>
        </w:rPr>
        <w:t xml:space="preserve"> a esto</w:t>
      </w:r>
      <w:r w:rsidR="00803D17">
        <w:rPr>
          <w:rFonts w:ascii="Arial" w:eastAsia="Arial" w:hAnsi="Arial" w:cs="Arial"/>
          <w:sz w:val="24"/>
          <w:szCs w:val="24"/>
        </w:rPr>
        <w:t>, l</w:t>
      </w:r>
      <w:r w:rsidR="00803D17" w:rsidRPr="00D94784">
        <w:rPr>
          <w:rFonts w:ascii="Arial" w:eastAsia="Arial" w:hAnsi="Arial" w:cs="Arial"/>
          <w:sz w:val="24"/>
          <w:szCs w:val="24"/>
        </w:rPr>
        <w:t>a rifapentina es una rifamicina de acción prolongada con una actividad comparable a la rifampicina</w:t>
      </w:r>
      <w:r w:rsidR="00803D17">
        <w:rPr>
          <w:rFonts w:ascii="Arial" w:eastAsia="Arial" w:hAnsi="Arial" w:cs="Arial"/>
          <w:sz w:val="24"/>
          <w:szCs w:val="24"/>
        </w:rPr>
        <w:t xml:space="preserve"> (mayor potencia contra los microorganismos latentes que la isoniazida),</w:t>
      </w:r>
      <w:r w:rsidR="00803D17" w:rsidRPr="00D94784">
        <w:rPr>
          <w:rFonts w:ascii="Arial" w:eastAsia="Arial" w:hAnsi="Arial" w:cs="Arial"/>
          <w:sz w:val="24"/>
          <w:szCs w:val="24"/>
        </w:rPr>
        <w:t xml:space="preserve"> pero con una vida media prolongada que permite </w:t>
      </w:r>
      <w:r w:rsidR="00803D17">
        <w:rPr>
          <w:rFonts w:ascii="Arial" w:eastAsia="Arial" w:hAnsi="Arial" w:cs="Arial"/>
          <w:sz w:val="24"/>
          <w:szCs w:val="24"/>
        </w:rPr>
        <w:t>una menor</w:t>
      </w:r>
      <w:r w:rsidR="00803D17" w:rsidRPr="00D94784">
        <w:rPr>
          <w:rFonts w:ascii="Arial" w:eastAsia="Arial" w:hAnsi="Arial" w:cs="Arial"/>
          <w:sz w:val="24"/>
          <w:szCs w:val="24"/>
        </w:rPr>
        <w:t xml:space="preserve"> </w:t>
      </w:r>
      <w:r w:rsidR="00803D17">
        <w:rPr>
          <w:rFonts w:ascii="Arial" w:eastAsia="Arial" w:hAnsi="Arial" w:cs="Arial"/>
          <w:sz w:val="24"/>
          <w:szCs w:val="24"/>
        </w:rPr>
        <w:t>dosis en periodos de tiempo más cortos (</w:t>
      </w:r>
      <w:r w:rsidR="00803D17" w:rsidRPr="00A85171">
        <w:rPr>
          <w:rFonts w:ascii="Arial" w:eastAsia="Arial" w:hAnsi="Arial" w:cs="Arial"/>
          <w:color w:val="000000" w:themeColor="text1"/>
          <w:sz w:val="24"/>
          <w:szCs w:val="24"/>
        </w:rPr>
        <w:t>27</w:t>
      </w:r>
      <w:r w:rsidR="00803D17">
        <w:rPr>
          <w:rFonts w:ascii="Arial" w:eastAsia="Arial" w:hAnsi="Arial" w:cs="Arial"/>
          <w:sz w:val="24"/>
          <w:szCs w:val="24"/>
        </w:rPr>
        <w:t>), por lo tanto, expone al hígado a menos toxicidad directa y aquella relacionada con la interacción con otros fármacos a través de la inducción del citocromo P450 (</w:t>
      </w:r>
      <w:r w:rsidR="00803D17" w:rsidRPr="00A85171">
        <w:rPr>
          <w:rFonts w:ascii="Arial" w:eastAsia="Arial" w:hAnsi="Arial" w:cs="Arial"/>
          <w:color w:val="000000" w:themeColor="text1"/>
          <w:sz w:val="24"/>
          <w:szCs w:val="24"/>
        </w:rPr>
        <w:t>26</w:t>
      </w:r>
      <w:r w:rsidR="00803D17">
        <w:rPr>
          <w:rFonts w:ascii="Arial" w:eastAsia="Arial" w:hAnsi="Arial" w:cs="Arial"/>
          <w:sz w:val="24"/>
          <w:szCs w:val="24"/>
        </w:rPr>
        <w:t>), resulta</w:t>
      </w:r>
      <w:r w:rsidR="00D1663C">
        <w:rPr>
          <w:rFonts w:ascii="Arial" w:eastAsia="Arial" w:hAnsi="Arial" w:cs="Arial"/>
          <w:sz w:val="24"/>
          <w:szCs w:val="24"/>
        </w:rPr>
        <w:t>n</w:t>
      </w:r>
      <w:r w:rsidR="00803D17">
        <w:rPr>
          <w:rFonts w:ascii="Arial" w:eastAsia="Arial" w:hAnsi="Arial" w:cs="Arial"/>
          <w:sz w:val="24"/>
          <w:szCs w:val="24"/>
        </w:rPr>
        <w:t>do beneficioso en aquellos pacientes que ingieren otros fármacos para tratar comorbilidades.</w:t>
      </w:r>
    </w:p>
    <w:p w14:paraId="29BFA11B" w14:textId="77777777" w:rsidR="00803D17" w:rsidRDefault="00803D17" w:rsidP="00DC1AB9">
      <w:pPr>
        <w:spacing w:after="0" w:line="240" w:lineRule="auto"/>
        <w:ind w:firstLine="680"/>
        <w:jc w:val="both"/>
        <w:rPr>
          <w:rFonts w:ascii="Arial" w:eastAsia="Arial" w:hAnsi="Arial" w:cs="Arial"/>
          <w:sz w:val="24"/>
          <w:szCs w:val="24"/>
        </w:rPr>
      </w:pPr>
    </w:p>
    <w:p w14:paraId="490C4CF6" w14:textId="5E9F6239" w:rsidR="000F3934" w:rsidRPr="00151A07" w:rsidRDefault="00803D17" w:rsidP="00DC1AB9">
      <w:pPr>
        <w:spacing w:after="0" w:line="360" w:lineRule="auto"/>
        <w:ind w:firstLine="680"/>
        <w:jc w:val="both"/>
        <w:rPr>
          <w:rFonts w:ascii="Arial" w:eastAsia="Arial" w:hAnsi="Arial" w:cs="Arial"/>
          <w:sz w:val="24"/>
          <w:szCs w:val="24"/>
        </w:rPr>
      </w:pPr>
      <w:r w:rsidRPr="00081C8F">
        <w:rPr>
          <w:rFonts w:ascii="Arial" w:eastAsia="Arial" w:hAnsi="Arial" w:cs="Arial"/>
          <w:sz w:val="24"/>
          <w:szCs w:val="24"/>
        </w:rPr>
        <w:t xml:space="preserve">Aunque con muy baja certeza en la evidencia, no se encontró diferencia entre las alternativas en cuanto al cumplimiento </w:t>
      </w:r>
      <w:r w:rsidR="0083325D" w:rsidRPr="00081C8F">
        <w:rPr>
          <w:rFonts w:ascii="Arial" w:eastAsia="Arial" w:hAnsi="Arial" w:cs="Arial"/>
          <w:sz w:val="24"/>
          <w:szCs w:val="24"/>
        </w:rPr>
        <w:t>del</w:t>
      </w:r>
      <w:r w:rsidRPr="00081C8F">
        <w:rPr>
          <w:rFonts w:ascii="Arial" w:eastAsia="Arial" w:hAnsi="Arial" w:cs="Arial"/>
          <w:sz w:val="24"/>
          <w:szCs w:val="24"/>
        </w:rPr>
        <w:t xml:space="preserve"> tratamiento</w:t>
      </w:r>
      <w:r w:rsidR="005F19E9" w:rsidRPr="00081C8F">
        <w:rPr>
          <w:rFonts w:ascii="Arial" w:eastAsia="Arial" w:hAnsi="Arial" w:cs="Arial"/>
          <w:sz w:val="24"/>
          <w:szCs w:val="24"/>
        </w:rPr>
        <w:t xml:space="preserve"> en los</w:t>
      </w:r>
      <w:r w:rsidRPr="00081C8F">
        <w:rPr>
          <w:rFonts w:ascii="Arial" w:eastAsia="Arial" w:hAnsi="Arial" w:cs="Arial"/>
          <w:sz w:val="24"/>
          <w:szCs w:val="24"/>
        </w:rPr>
        <w:t xml:space="preserve"> estudios aleatorizados.</w:t>
      </w:r>
      <w:r w:rsidR="00A85171" w:rsidRPr="00081C8F">
        <w:rPr>
          <w:rFonts w:ascii="Arial" w:eastAsia="Arial" w:hAnsi="Arial" w:cs="Arial"/>
          <w:sz w:val="24"/>
          <w:szCs w:val="24"/>
        </w:rPr>
        <w:t xml:space="preserve"> Este resultado difiere de lo encontrado por Gibril y colaboradores (25)</w:t>
      </w:r>
      <w:r w:rsidR="00B377BC" w:rsidRPr="00081C8F">
        <w:rPr>
          <w:rFonts w:ascii="Arial" w:eastAsia="Arial" w:hAnsi="Arial" w:cs="Arial"/>
          <w:sz w:val="24"/>
          <w:szCs w:val="24"/>
        </w:rPr>
        <w:t>, ya que</w:t>
      </w:r>
      <w:r w:rsidR="00A85171" w:rsidRPr="00081C8F">
        <w:rPr>
          <w:rFonts w:ascii="Arial" w:eastAsia="Arial" w:hAnsi="Arial" w:cs="Arial"/>
          <w:sz w:val="24"/>
          <w:szCs w:val="24"/>
        </w:rPr>
        <w:t xml:space="preserve"> la culminación del tratamiento fue mayor en el grupo que recibió rifapentina/isoniazida. Cabe resaltar que en uno de los ECA incluidos (1</w:t>
      </w:r>
      <w:r w:rsidR="005A473F" w:rsidRPr="00081C8F">
        <w:rPr>
          <w:rFonts w:ascii="Arial" w:eastAsia="Arial" w:hAnsi="Arial" w:cs="Arial"/>
          <w:sz w:val="24"/>
          <w:szCs w:val="24"/>
        </w:rPr>
        <w:t>7</w:t>
      </w:r>
      <w:r w:rsidR="00A85171" w:rsidRPr="00081C8F">
        <w:rPr>
          <w:rFonts w:ascii="Arial" w:eastAsia="Arial" w:hAnsi="Arial" w:cs="Arial"/>
          <w:sz w:val="24"/>
          <w:szCs w:val="24"/>
        </w:rPr>
        <w:t>)</w:t>
      </w:r>
      <w:r w:rsidR="00B377BC" w:rsidRPr="00081C8F">
        <w:rPr>
          <w:rFonts w:ascii="Arial" w:eastAsia="Arial" w:hAnsi="Arial" w:cs="Arial"/>
          <w:sz w:val="24"/>
          <w:szCs w:val="24"/>
        </w:rPr>
        <w:t>,</w:t>
      </w:r>
      <w:r w:rsidR="00A85171" w:rsidRPr="00081C8F">
        <w:rPr>
          <w:rFonts w:ascii="Arial" w:eastAsia="Arial" w:hAnsi="Arial" w:cs="Arial"/>
          <w:sz w:val="24"/>
          <w:szCs w:val="24"/>
        </w:rPr>
        <w:t xml:space="preserve"> una proporción de los participantes recibió </w:t>
      </w:r>
      <w:r w:rsidR="0083325D" w:rsidRPr="00081C8F">
        <w:rPr>
          <w:rFonts w:ascii="Arial" w:eastAsia="Arial" w:hAnsi="Arial" w:cs="Arial"/>
          <w:sz w:val="24"/>
          <w:szCs w:val="24"/>
        </w:rPr>
        <w:t>la intervención bajo supervisión directa y la otra proporción se le administr</w:t>
      </w:r>
      <w:r w:rsidR="00B377BC" w:rsidRPr="00081C8F">
        <w:rPr>
          <w:rFonts w:ascii="Arial" w:eastAsia="Arial" w:hAnsi="Arial" w:cs="Arial"/>
          <w:sz w:val="24"/>
          <w:szCs w:val="24"/>
        </w:rPr>
        <w:t>ó</w:t>
      </w:r>
      <w:r w:rsidR="0083325D" w:rsidRPr="00081C8F">
        <w:rPr>
          <w:rFonts w:ascii="Arial" w:eastAsia="Arial" w:hAnsi="Arial" w:cs="Arial"/>
          <w:sz w:val="24"/>
          <w:szCs w:val="24"/>
        </w:rPr>
        <w:t xml:space="preserve"> sin supervisión</w:t>
      </w:r>
      <w:r w:rsidR="00B377BC" w:rsidRPr="00081C8F">
        <w:rPr>
          <w:rFonts w:ascii="Arial" w:eastAsia="Arial" w:hAnsi="Arial" w:cs="Arial"/>
          <w:sz w:val="24"/>
          <w:szCs w:val="24"/>
        </w:rPr>
        <w:t>.</w:t>
      </w:r>
      <w:r w:rsidR="000F3934" w:rsidRPr="00081C8F">
        <w:rPr>
          <w:rFonts w:ascii="Arial" w:eastAsia="Arial" w:hAnsi="Arial" w:cs="Arial"/>
          <w:sz w:val="24"/>
          <w:szCs w:val="24"/>
        </w:rPr>
        <w:t xml:space="preserve"> Además, la heterogeneidad fue del 97% comprometiendo la veracidad de este resultado. </w:t>
      </w:r>
      <w:r w:rsidR="0083325D" w:rsidRPr="00081C8F">
        <w:rPr>
          <w:rFonts w:ascii="Arial" w:eastAsia="Arial" w:hAnsi="Arial" w:cs="Arial"/>
          <w:sz w:val="24"/>
          <w:szCs w:val="24"/>
        </w:rPr>
        <w:t xml:space="preserve"> </w:t>
      </w:r>
      <w:r w:rsidR="005F19E9" w:rsidRPr="00081C8F">
        <w:rPr>
          <w:rFonts w:ascii="Arial" w:eastAsia="Arial" w:hAnsi="Arial" w:cs="Arial"/>
          <w:sz w:val="24"/>
          <w:szCs w:val="24"/>
        </w:rPr>
        <w:t>Tampoco se encontró diferencias en</w:t>
      </w:r>
      <w:r w:rsidR="008F76EF" w:rsidRPr="00081C8F">
        <w:rPr>
          <w:rFonts w:ascii="Arial" w:eastAsia="Arial" w:hAnsi="Arial" w:cs="Arial"/>
          <w:sz w:val="24"/>
          <w:szCs w:val="24"/>
        </w:rPr>
        <w:t>tre las alternativas para el cumplimiento del tratamiento en</w:t>
      </w:r>
      <w:r w:rsidR="0083325D" w:rsidRPr="00081C8F">
        <w:rPr>
          <w:rFonts w:ascii="Arial" w:eastAsia="Arial" w:hAnsi="Arial" w:cs="Arial"/>
          <w:sz w:val="24"/>
          <w:szCs w:val="24"/>
        </w:rPr>
        <w:t xml:space="preserve"> los estudios de cohortes</w:t>
      </w:r>
      <w:r w:rsidR="008F76EF" w:rsidRPr="00081C8F">
        <w:rPr>
          <w:rFonts w:ascii="Arial" w:eastAsia="Arial" w:hAnsi="Arial" w:cs="Arial"/>
          <w:sz w:val="24"/>
          <w:szCs w:val="24"/>
        </w:rPr>
        <w:t>, es importante mencionar que</w:t>
      </w:r>
      <w:r w:rsidR="00151A07" w:rsidRPr="00081C8F">
        <w:rPr>
          <w:rFonts w:ascii="Arial" w:eastAsia="Arial" w:hAnsi="Arial" w:cs="Arial"/>
          <w:sz w:val="24"/>
          <w:szCs w:val="24"/>
        </w:rPr>
        <w:t xml:space="preserve"> en el estudio de pacientes con enfermedad renal en diálisis</w:t>
      </w:r>
      <w:r w:rsidR="0083325D" w:rsidRPr="00081C8F">
        <w:rPr>
          <w:rFonts w:ascii="Arial" w:eastAsia="Arial" w:hAnsi="Arial" w:cs="Arial"/>
          <w:sz w:val="24"/>
          <w:szCs w:val="24"/>
        </w:rPr>
        <w:t xml:space="preserve"> </w:t>
      </w:r>
      <w:r w:rsidR="5141EA98" w:rsidRPr="00081C8F">
        <w:rPr>
          <w:rFonts w:ascii="Arial" w:eastAsia="Arial" w:hAnsi="Arial" w:cs="Arial"/>
          <w:sz w:val="24"/>
          <w:szCs w:val="24"/>
        </w:rPr>
        <w:t>(</w:t>
      </w:r>
      <w:r w:rsidR="007F3A39" w:rsidRPr="00081C8F">
        <w:rPr>
          <w:rFonts w:ascii="Arial" w:eastAsia="Arial" w:hAnsi="Arial" w:cs="Arial"/>
          <w:sz w:val="24"/>
          <w:szCs w:val="24"/>
        </w:rPr>
        <w:t>2</w:t>
      </w:r>
      <w:r w:rsidR="00976B1C" w:rsidRPr="00081C8F">
        <w:rPr>
          <w:rFonts w:ascii="Arial" w:eastAsia="Arial" w:hAnsi="Arial" w:cs="Arial"/>
          <w:sz w:val="24"/>
          <w:szCs w:val="24"/>
        </w:rPr>
        <w:t>1</w:t>
      </w:r>
      <w:r w:rsidR="5141EA98" w:rsidRPr="00081C8F">
        <w:rPr>
          <w:rFonts w:ascii="Arial" w:eastAsia="Arial" w:hAnsi="Arial" w:cs="Arial"/>
          <w:sz w:val="24"/>
          <w:szCs w:val="24"/>
        </w:rPr>
        <w:t>)</w:t>
      </w:r>
      <w:r w:rsidR="00B377BC" w:rsidRPr="00081C8F">
        <w:rPr>
          <w:rFonts w:ascii="Arial" w:eastAsia="Arial" w:hAnsi="Arial" w:cs="Arial"/>
          <w:sz w:val="24"/>
          <w:szCs w:val="24"/>
        </w:rPr>
        <w:t>,</w:t>
      </w:r>
      <w:r w:rsidR="5141EA98" w:rsidRPr="00081C8F">
        <w:rPr>
          <w:rFonts w:ascii="Arial" w:eastAsia="Arial" w:hAnsi="Arial" w:cs="Arial"/>
          <w:sz w:val="24"/>
          <w:szCs w:val="24"/>
        </w:rPr>
        <w:t xml:space="preserve"> los participantes recibieron isoniazida sola autoadministrada sin supervisión, mientras que la rifapentina/isoniazida fue administrada bajo supervisión directa del personal de salud</w:t>
      </w:r>
      <w:r w:rsidR="000F3934" w:rsidRPr="00081C8F">
        <w:rPr>
          <w:rFonts w:ascii="Arial" w:eastAsia="Arial" w:hAnsi="Arial" w:cs="Arial"/>
          <w:sz w:val="24"/>
          <w:szCs w:val="24"/>
        </w:rPr>
        <w:t xml:space="preserve">, </w:t>
      </w:r>
      <w:r w:rsidR="0098495C" w:rsidRPr="00081C8F">
        <w:rPr>
          <w:rFonts w:ascii="Arial" w:eastAsia="Arial" w:hAnsi="Arial" w:cs="Arial"/>
          <w:sz w:val="24"/>
          <w:szCs w:val="24"/>
        </w:rPr>
        <w:t xml:space="preserve">con </w:t>
      </w:r>
      <w:r w:rsidR="00151A07" w:rsidRPr="00081C8F">
        <w:rPr>
          <w:rFonts w:ascii="Arial" w:eastAsia="Arial" w:hAnsi="Arial" w:cs="Arial"/>
          <w:sz w:val="24"/>
          <w:szCs w:val="24"/>
        </w:rPr>
        <w:t>una diferencia significativa a favor del régimen tradicional con isonia</w:t>
      </w:r>
      <w:r w:rsidR="00600B57" w:rsidRPr="00081C8F">
        <w:rPr>
          <w:rFonts w:ascii="Arial" w:eastAsia="Arial" w:hAnsi="Arial" w:cs="Arial"/>
          <w:sz w:val="24"/>
          <w:szCs w:val="24"/>
        </w:rPr>
        <w:t>z</w:t>
      </w:r>
      <w:r w:rsidR="00151A07" w:rsidRPr="00081C8F">
        <w:rPr>
          <w:rFonts w:ascii="Arial" w:eastAsia="Arial" w:hAnsi="Arial" w:cs="Arial"/>
          <w:sz w:val="24"/>
          <w:szCs w:val="24"/>
        </w:rPr>
        <w:t>ida sola</w:t>
      </w:r>
      <w:r w:rsidR="007D2683" w:rsidRPr="00081C8F">
        <w:rPr>
          <w:rFonts w:ascii="Arial" w:eastAsia="Arial" w:hAnsi="Arial" w:cs="Arial"/>
          <w:sz w:val="24"/>
          <w:szCs w:val="24"/>
        </w:rPr>
        <w:t>.</w:t>
      </w:r>
      <w:r w:rsidR="0098495C" w:rsidRPr="00081C8F">
        <w:rPr>
          <w:rFonts w:ascii="Arial" w:eastAsia="Arial" w:hAnsi="Arial" w:cs="Arial"/>
          <w:sz w:val="24"/>
          <w:szCs w:val="24"/>
        </w:rPr>
        <w:t xml:space="preserve"> </w:t>
      </w:r>
      <w:r w:rsidR="007D2683" w:rsidRPr="00081C8F">
        <w:rPr>
          <w:rFonts w:ascii="Arial" w:eastAsia="Arial" w:hAnsi="Arial" w:cs="Arial"/>
          <w:sz w:val="24"/>
          <w:szCs w:val="24"/>
        </w:rPr>
        <w:t>S</w:t>
      </w:r>
      <w:r w:rsidR="0098495C" w:rsidRPr="00081C8F">
        <w:rPr>
          <w:rFonts w:ascii="Arial" w:eastAsia="Arial" w:hAnsi="Arial" w:cs="Arial"/>
          <w:sz w:val="24"/>
          <w:szCs w:val="24"/>
        </w:rPr>
        <w:t>in embargo,</w:t>
      </w:r>
      <w:r w:rsidR="00151A07" w:rsidRPr="00081C8F">
        <w:rPr>
          <w:rFonts w:ascii="Arial" w:eastAsia="Arial" w:hAnsi="Arial" w:cs="Arial"/>
          <w:sz w:val="24"/>
          <w:szCs w:val="24"/>
        </w:rPr>
        <w:t xml:space="preserve"> algunas investigaciones previas (</w:t>
      </w:r>
      <w:r w:rsidR="0098495C" w:rsidRPr="00081C8F">
        <w:rPr>
          <w:rFonts w:ascii="Arial" w:eastAsia="Arial" w:hAnsi="Arial" w:cs="Arial"/>
          <w:sz w:val="24"/>
          <w:szCs w:val="24"/>
        </w:rPr>
        <w:t>28</w:t>
      </w:r>
      <w:r w:rsidR="00151A07" w:rsidRPr="00081C8F">
        <w:rPr>
          <w:rFonts w:ascii="Arial" w:eastAsia="Arial" w:hAnsi="Arial" w:cs="Arial"/>
          <w:sz w:val="24"/>
          <w:szCs w:val="24"/>
        </w:rPr>
        <w:t xml:space="preserve">) plantean que la rifapentina interactúa con los medicamentos </w:t>
      </w:r>
      <w:r w:rsidR="00151A07" w:rsidRPr="00081C8F">
        <w:rPr>
          <w:rFonts w:ascii="Arial" w:eastAsia="Arial" w:hAnsi="Arial" w:cs="Arial"/>
          <w:sz w:val="24"/>
          <w:szCs w:val="24"/>
        </w:rPr>
        <w:lastRenderedPageBreak/>
        <w:t xml:space="preserve">para tratar las comorbilidades (hipertensión arterial, diabetes mellitus, neoplasias, entre otras) causando efectos adversos como trastornos de la tensión arterial, </w:t>
      </w:r>
      <w:r w:rsidR="0098495C" w:rsidRPr="00081C8F">
        <w:rPr>
          <w:rFonts w:ascii="Arial" w:eastAsia="Arial" w:hAnsi="Arial" w:cs="Arial"/>
          <w:sz w:val="24"/>
          <w:szCs w:val="24"/>
        </w:rPr>
        <w:t>síndrome pseudogripal</w:t>
      </w:r>
      <w:r w:rsidR="00151A07" w:rsidRPr="00081C8F">
        <w:rPr>
          <w:rFonts w:ascii="Arial" w:eastAsia="Arial" w:hAnsi="Arial" w:cs="Arial"/>
          <w:sz w:val="24"/>
          <w:szCs w:val="24"/>
        </w:rPr>
        <w:t xml:space="preserve"> y vómitos conllevando la descontinuación de la rifapentina en este grupo de pacientes.</w:t>
      </w:r>
    </w:p>
    <w:p w14:paraId="7DFE21D9" w14:textId="77777777" w:rsidR="000F3934" w:rsidRDefault="000F3934" w:rsidP="00DC1AB9">
      <w:pPr>
        <w:spacing w:after="0" w:line="240" w:lineRule="auto"/>
        <w:ind w:firstLine="680"/>
        <w:jc w:val="both"/>
        <w:rPr>
          <w:rFonts w:ascii="Arial" w:eastAsia="Arial" w:hAnsi="Arial" w:cs="Arial"/>
          <w:sz w:val="24"/>
          <w:szCs w:val="24"/>
        </w:rPr>
      </w:pPr>
    </w:p>
    <w:p w14:paraId="718FF0B4" w14:textId="77F14557" w:rsidR="22AF51C9" w:rsidRDefault="00840B60" w:rsidP="00DC1AB9">
      <w:pPr>
        <w:spacing w:after="0" w:line="360" w:lineRule="auto"/>
        <w:ind w:firstLine="680"/>
        <w:jc w:val="both"/>
        <w:rPr>
          <w:rFonts w:ascii="Arial" w:eastAsia="Arial" w:hAnsi="Arial" w:cs="Arial"/>
          <w:sz w:val="24"/>
          <w:szCs w:val="24"/>
        </w:rPr>
      </w:pPr>
      <w:r>
        <w:rPr>
          <w:rFonts w:ascii="Arial" w:eastAsia="Arial" w:hAnsi="Arial" w:cs="Arial"/>
          <w:sz w:val="24"/>
          <w:szCs w:val="24"/>
        </w:rPr>
        <w:t xml:space="preserve">Aún existe controversia </w:t>
      </w:r>
      <w:r w:rsidR="00361A1C">
        <w:rPr>
          <w:rFonts w:ascii="Arial" w:eastAsia="Arial" w:hAnsi="Arial" w:cs="Arial"/>
          <w:sz w:val="24"/>
          <w:szCs w:val="24"/>
        </w:rPr>
        <w:t xml:space="preserve">con </w:t>
      </w:r>
      <w:r>
        <w:rPr>
          <w:rFonts w:ascii="Arial" w:eastAsia="Arial" w:hAnsi="Arial" w:cs="Arial"/>
          <w:sz w:val="24"/>
          <w:szCs w:val="24"/>
        </w:rPr>
        <w:t>el efecto del tipo de administración en la culminación del tratamiento, debido a las diferentes formas de medir la administración sin supervisión que va desde la información suministrada por el paciente hasta dispositivos electrónicos (3). Algunos estudios demuestran que la administración bajo supervisión es superior y otros que no existen diferencias entre la administración con o sin supervisión (25).</w:t>
      </w:r>
      <w:r w:rsidR="00720DAE">
        <w:rPr>
          <w:rFonts w:ascii="Arial" w:eastAsia="Arial" w:hAnsi="Arial" w:cs="Arial"/>
          <w:sz w:val="24"/>
          <w:szCs w:val="24"/>
        </w:rPr>
        <w:t xml:space="preserve"> </w:t>
      </w:r>
      <w:r>
        <w:rPr>
          <w:rFonts w:ascii="Arial" w:eastAsia="Arial" w:hAnsi="Arial" w:cs="Arial"/>
          <w:sz w:val="24"/>
          <w:szCs w:val="24"/>
        </w:rPr>
        <w:t>Debido a ello se necesitan más estudios que consideren el tipo de administración en las tasas de culminación de tratamiento de ILTB.</w:t>
      </w:r>
    </w:p>
    <w:p w14:paraId="251F75DA" w14:textId="689E3C02" w:rsidR="22AF51C9" w:rsidRDefault="22AF51C9" w:rsidP="00DC1AB9">
      <w:pPr>
        <w:spacing w:after="0" w:line="360" w:lineRule="auto"/>
        <w:ind w:firstLine="680"/>
        <w:jc w:val="both"/>
        <w:rPr>
          <w:rFonts w:ascii="Arial" w:eastAsia="Arial" w:hAnsi="Arial" w:cs="Arial"/>
          <w:sz w:val="24"/>
          <w:szCs w:val="24"/>
        </w:rPr>
      </w:pPr>
    </w:p>
    <w:p w14:paraId="4F60F35D" w14:textId="61A10AB4" w:rsidR="22AF51C9" w:rsidRDefault="5141EA98" w:rsidP="00720DAE">
      <w:pPr>
        <w:pStyle w:val="Ttulo2"/>
      </w:pPr>
      <w:bookmarkStart w:id="27" w:name="_Toc85474286"/>
      <w:r w:rsidRPr="5141EA98">
        <w:t>Limitaciones de la evidencia</w:t>
      </w:r>
      <w:bookmarkEnd w:id="27"/>
      <w:r w:rsidR="00720DAE">
        <w:t xml:space="preserve"> </w:t>
      </w:r>
    </w:p>
    <w:p w14:paraId="7A2475D3" w14:textId="77777777" w:rsidR="00DC1AB9" w:rsidRPr="00DC1AB9" w:rsidRDefault="00DC1AB9" w:rsidP="00DC1AB9">
      <w:pPr>
        <w:ind w:firstLine="680"/>
      </w:pPr>
    </w:p>
    <w:p w14:paraId="7FC28BB8" w14:textId="77777777" w:rsidR="00803D17" w:rsidRPr="00FD7C5A" w:rsidRDefault="00803D17" w:rsidP="00DC1AB9">
      <w:pPr>
        <w:spacing w:after="0" w:line="360" w:lineRule="auto"/>
        <w:ind w:firstLine="680"/>
        <w:jc w:val="both"/>
        <w:rPr>
          <w:rFonts w:ascii="Arial" w:eastAsia="Arial" w:hAnsi="Arial" w:cs="Arial"/>
          <w:sz w:val="24"/>
          <w:szCs w:val="24"/>
        </w:rPr>
      </w:pPr>
      <w:r w:rsidRPr="0017293E">
        <w:rPr>
          <w:rFonts w:ascii="Arial" w:eastAsia="Arial" w:hAnsi="Arial" w:cs="Arial"/>
          <w:sz w:val="24"/>
          <w:szCs w:val="24"/>
        </w:rPr>
        <w:t>Se demostró que hay pruebas limitadas de la eficacia de la rifapentina/isoniazida comparada con isoniazida sola en la prevención de TB activa en personas que viven con VIH y ninguna prueba de la eficacia en personas con inmunodepresión secundaria sin infec</w:t>
      </w:r>
      <w:r w:rsidRPr="00E168A7">
        <w:rPr>
          <w:rFonts w:ascii="Arial" w:eastAsia="Arial" w:hAnsi="Arial" w:cs="Arial"/>
          <w:sz w:val="24"/>
          <w:szCs w:val="24"/>
        </w:rPr>
        <w:t xml:space="preserve">ción por VIH. La evidencia proveniente de los ECA tiene bajo nivel de certeza, debido a </w:t>
      </w:r>
      <w:r w:rsidRPr="00596A7D">
        <w:rPr>
          <w:rFonts w:ascii="Arial" w:eastAsia="Arial" w:hAnsi="Arial" w:cs="Arial"/>
          <w:sz w:val="24"/>
          <w:szCs w:val="24"/>
        </w:rPr>
        <w:t>serias limitaciones por riesgo</w:t>
      </w:r>
      <w:r w:rsidRPr="0082581C">
        <w:rPr>
          <w:rFonts w:ascii="Arial" w:eastAsia="Arial" w:hAnsi="Arial" w:cs="Arial"/>
          <w:sz w:val="24"/>
          <w:szCs w:val="24"/>
        </w:rPr>
        <w:t xml:space="preserve">s de sesgos e imprecisión. </w:t>
      </w:r>
    </w:p>
    <w:p w14:paraId="65770216" w14:textId="77777777" w:rsidR="00803D17" w:rsidRPr="00596A7D" w:rsidRDefault="00803D17" w:rsidP="00DC1AB9">
      <w:pPr>
        <w:spacing w:after="0" w:line="240" w:lineRule="auto"/>
        <w:ind w:firstLine="680"/>
        <w:jc w:val="both"/>
        <w:rPr>
          <w:rFonts w:ascii="Arial" w:eastAsia="Arial" w:hAnsi="Arial" w:cs="Arial"/>
          <w:sz w:val="24"/>
          <w:szCs w:val="24"/>
        </w:rPr>
      </w:pPr>
    </w:p>
    <w:p w14:paraId="2197E3BB" w14:textId="1EAA821E" w:rsidR="00803D17" w:rsidRDefault="00803D17" w:rsidP="00DC1AB9">
      <w:pPr>
        <w:spacing w:after="0" w:line="360" w:lineRule="auto"/>
        <w:ind w:firstLine="680"/>
        <w:jc w:val="both"/>
        <w:rPr>
          <w:rFonts w:ascii="Arial" w:eastAsia="Arial" w:hAnsi="Arial" w:cs="Arial"/>
          <w:sz w:val="24"/>
          <w:szCs w:val="24"/>
        </w:rPr>
      </w:pPr>
      <w:r w:rsidRPr="0017293E">
        <w:rPr>
          <w:rFonts w:ascii="Arial" w:eastAsia="Arial" w:hAnsi="Arial" w:cs="Arial"/>
          <w:sz w:val="24"/>
          <w:szCs w:val="24"/>
        </w:rPr>
        <w:t xml:space="preserve">Con respecto a los desenlaces secundarios, la evidencia de la hepatotoxicidad ≥ grado 3 se consideró con un bajo nivel de la certeza, en parte por las limitaciones serias del riesgo de sesgo, </w:t>
      </w:r>
      <w:r w:rsidR="00BF59CA">
        <w:rPr>
          <w:rFonts w:ascii="Arial" w:eastAsia="Arial" w:hAnsi="Arial" w:cs="Arial"/>
          <w:sz w:val="24"/>
          <w:szCs w:val="24"/>
        </w:rPr>
        <w:t>así como por</w:t>
      </w:r>
      <w:r w:rsidRPr="0017293E">
        <w:rPr>
          <w:rFonts w:ascii="Arial" w:eastAsia="Arial" w:hAnsi="Arial" w:cs="Arial"/>
          <w:sz w:val="24"/>
          <w:szCs w:val="24"/>
        </w:rPr>
        <w:t xml:space="preserve"> la diferencia en la duración (6 y 9 meses) de la i</w:t>
      </w:r>
      <w:r w:rsidRPr="00596A7D">
        <w:rPr>
          <w:rFonts w:ascii="Arial" w:eastAsia="Arial" w:hAnsi="Arial" w:cs="Arial"/>
          <w:sz w:val="24"/>
          <w:szCs w:val="24"/>
        </w:rPr>
        <w:t>soniazida sola en los estudios incluidos. En cuanto al desenlace culminación del tratamiento, se consideró muy bajo el nivel de certeza de la evidencia, debido a limitaciones serias en el riesgo de sesgo, la inconsistencia, la evidencia indirecta y la imprecisión. Para los participantes con inmunodepresión secundaria sin infección por VIH también la evidencia de la culminación del tratamiento se consideró con muy bajo nivel de certeza, debido a limitaciones serias en el riesgo de sesgo, la inconsistencia y la imprecisión.</w:t>
      </w:r>
    </w:p>
    <w:p w14:paraId="658C0E6D" w14:textId="49969F0E" w:rsidR="00803D17" w:rsidRDefault="00803D17" w:rsidP="00720DAE">
      <w:pPr>
        <w:pStyle w:val="Ttulo2"/>
      </w:pPr>
      <w:bookmarkStart w:id="28" w:name="_Toc85474287"/>
      <w:r w:rsidRPr="5141EA98">
        <w:lastRenderedPageBreak/>
        <w:t>Limitaciones de los procesos de revisión</w:t>
      </w:r>
      <w:bookmarkEnd w:id="28"/>
      <w:r w:rsidR="00720DAE">
        <w:t xml:space="preserve"> </w:t>
      </w:r>
    </w:p>
    <w:p w14:paraId="3260B10E" w14:textId="77777777" w:rsidR="00DC1AB9" w:rsidRPr="00DC1AB9" w:rsidRDefault="00DC1AB9" w:rsidP="00DC1AB9"/>
    <w:p w14:paraId="49124D4E" w14:textId="4978E63C" w:rsidR="00803D17" w:rsidRDefault="00803D17" w:rsidP="00DC1AB9">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 xml:space="preserve">Se realizó una búsqueda sistemática y exhaustiva en las bases de datos, sin restricciones de idioma, para identificar estudios publicados y no publicados. </w:t>
      </w:r>
      <w:r>
        <w:rPr>
          <w:rFonts w:ascii="Arial" w:eastAsia="Arial" w:hAnsi="Arial" w:cs="Arial"/>
          <w:sz w:val="24"/>
          <w:szCs w:val="24"/>
        </w:rPr>
        <w:t>Se Incluy</w:t>
      </w:r>
      <w:r w:rsidR="00BF59CA">
        <w:rPr>
          <w:rFonts w:ascii="Arial" w:eastAsia="Arial" w:hAnsi="Arial" w:cs="Arial"/>
          <w:sz w:val="24"/>
          <w:szCs w:val="24"/>
        </w:rPr>
        <w:t>en</w:t>
      </w:r>
      <w:r>
        <w:rPr>
          <w:rFonts w:ascii="Arial" w:eastAsia="Arial" w:hAnsi="Arial" w:cs="Arial"/>
          <w:sz w:val="24"/>
          <w:szCs w:val="24"/>
        </w:rPr>
        <w:t xml:space="preserve"> varias enfermedades que se relacionan con distintos grados de inmunosupresión con el objetivo de tener una mirada general al impacto de estas sobre la eficacia de los tratamientos. Por último, se siguieron los más altos y recientes estándares metodológicos en desarrollo de revisiones sistemáticas. Por ejemplo, registro previo del protocolo en la base de datos PROSPERO, cumplimiento de las recomendaciones de </w:t>
      </w:r>
      <w:r w:rsidRPr="00C16400">
        <w:rPr>
          <w:rFonts w:ascii="Arial" w:eastAsia="Arial" w:hAnsi="Arial" w:cs="Arial"/>
          <w:i/>
          <w:iCs/>
          <w:sz w:val="24"/>
          <w:szCs w:val="24"/>
        </w:rPr>
        <w:t>Cochrane</w:t>
      </w:r>
      <w:r>
        <w:rPr>
          <w:rFonts w:ascii="Arial" w:eastAsia="Arial" w:hAnsi="Arial" w:cs="Arial"/>
          <w:sz w:val="24"/>
          <w:szCs w:val="24"/>
        </w:rPr>
        <w:t xml:space="preserve"> (1</w:t>
      </w:r>
      <w:r w:rsidR="005A473F">
        <w:rPr>
          <w:rFonts w:ascii="Arial" w:eastAsia="Arial" w:hAnsi="Arial" w:cs="Arial"/>
          <w:sz w:val="24"/>
          <w:szCs w:val="24"/>
        </w:rPr>
        <w:t>2</w:t>
      </w:r>
      <w:r>
        <w:rPr>
          <w:rFonts w:ascii="Arial" w:eastAsia="Arial" w:hAnsi="Arial" w:cs="Arial"/>
          <w:sz w:val="24"/>
          <w:szCs w:val="24"/>
        </w:rPr>
        <w:t xml:space="preserve">), y </w:t>
      </w:r>
      <w:r w:rsidRPr="00E24416">
        <w:rPr>
          <w:rFonts w:ascii="Arial" w:eastAsia="Arial" w:hAnsi="Arial" w:cs="Arial"/>
          <w:sz w:val="24"/>
          <w:szCs w:val="24"/>
        </w:rPr>
        <w:t>PRISMA</w:t>
      </w:r>
      <w:r>
        <w:rPr>
          <w:rFonts w:ascii="Arial" w:eastAsia="Arial" w:hAnsi="Arial" w:cs="Arial"/>
          <w:sz w:val="24"/>
          <w:szCs w:val="24"/>
        </w:rPr>
        <w:t xml:space="preserve"> 2020 (7), uso de las herramientas </w:t>
      </w:r>
      <w:r w:rsidRPr="009F3806">
        <w:rPr>
          <w:rFonts w:ascii="Arial" w:eastAsia="Arial" w:hAnsi="Arial" w:cs="Arial"/>
          <w:sz w:val="24"/>
          <w:szCs w:val="24"/>
        </w:rPr>
        <w:t>ROB2</w:t>
      </w:r>
      <w:r w:rsidRPr="00E24416">
        <w:rPr>
          <w:rFonts w:ascii="Arial" w:eastAsia="Arial" w:hAnsi="Arial" w:cs="Arial"/>
          <w:i/>
          <w:iCs/>
          <w:sz w:val="24"/>
          <w:szCs w:val="24"/>
        </w:rPr>
        <w:t xml:space="preserve"> </w:t>
      </w:r>
      <w:r>
        <w:rPr>
          <w:rFonts w:ascii="Arial" w:eastAsia="Arial" w:hAnsi="Arial" w:cs="Arial"/>
          <w:sz w:val="24"/>
          <w:szCs w:val="24"/>
        </w:rPr>
        <w:t>(1</w:t>
      </w:r>
      <w:r w:rsidR="00EB4A44">
        <w:rPr>
          <w:rFonts w:ascii="Arial" w:eastAsia="Arial" w:hAnsi="Arial" w:cs="Arial"/>
          <w:sz w:val="24"/>
          <w:szCs w:val="24"/>
        </w:rPr>
        <w:t>1</w:t>
      </w:r>
      <w:r>
        <w:rPr>
          <w:rFonts w:ascii="Arial" w:eastAsia="Arial" w:hAnsi="Arial" w:cs="Arial"/>
          <w:sz w:val="24"/>
          <w:szCs w:val="24"/>
        </w:rPr>
        <w:t xml:space="preserve">) y </w:t>
      </w:r>
      <w:r w:rsidRPr="00C16400">
        <w:rPr>
          <w:rFonts w:ascii="Arial" w:eastAsia="Arial" w:hAnsi="Arial" w:cs="Arial"/>
          <w:sz w:val="24"/>
          <w:szCs w:val="24"/>
        </w:rPr>
        <w:t>ROBINS-I</w:t>
      </w:r>
      <w:r w:rsidRPr="00E24416">
        <w:rPr>
          <w:rFonts w:ascii="Arial" w:eastAsia="Arial" w:hAnsi="Arial" w:cs="Arial"/>
          <w:i/>
          <w:iCs/>
          <w:sz w:val="24"/>
          <w:szCs w:val="24"/>
        </w:rPr>
        <w:t xml:space="preserve"> </w:t>
      </w:r>
      <w:r>
        <w:rPr>
          <w:rFonts w:ascii="Arial" w:eastAsia="Arial" w:hAnsi="Arial" w:cs="Arial"/>
          <w:sz w:val="24"/>
          <w:szCs w:val="24"/>
        </w:rPr>
        <w:t>(1</w:t>
      </w:r>
      <w:r w:rsidR="00EB4A44">
        <w:rPr>
          <w:rFonts w:ascii="Arial" w:eastAsia="Arial" w:hAnsi="Arial" w:cs="Arial"/>
          <w:sz w:val="24"/>
          <w:szCs w:val="24"/>
        </w:rPr>
        <w:t>2</w:t>
      </w:r>
      <w:r>
        <w:rPr>
          <w:rFonts w:ascii="Arial" w:eastAsia="Arial" w:hAnsi="Arial" w:cs="Arial"/>
          <w:sz w:val="24"/>
          <w:szCs w:val="24"/>
        </w:rPr>
        <w:t xml:space="preserve">) para evaluar los riesgos de sesgos, y se aplicó el abordaje </w:t>
      </w:r>
      <w:r w:rsidRPr="00C16400">
        <w:rPr>
          <w:rFonts w:ascii="Arial" w:eastAsia="Arial" w:hAnsi="Arial" w:cs="Arial"/>
          <w:sz w:val="24"/>
          <w:szCs w:val="24"/>
        </w:rPr>
        <w:t>GRADE</w:t>
      </w:r>
      <w:r>
        <w:rPr>
          <w:rFonts w:ascii="Arial" w:eastAsia="Arial" w:hAnsi="Arial" w:cs="Arial"/>
          <w:sz w:val="24"/>
          <w:szCs w:val="24"/>
        </w:rPr>
        <w:t xml:space="preserve"> para evaluar la certeza en la evidencia (6</w:t>
      </w:r>
      <w:r w:rsidRPr="00081C8F">
        <w:rPr>
          <w:rFonts w:ascii="Arial" w:eastAsia="Arial" w:hAnsi="Arial" w:cs="Arial"/>
          <w:sz w:val="24"/>
          <w:szCs w:val="24"/>
        </w:rPr>
        <w:t>). Sin embargo, el número de estudios incluidos no permitió aplicar la prueba de Egger (1</w:t>
      </w:r>
      <w:r w:rsidR="00EB4A44" w:rsidRPr="00081C8F">
        <w:rPr>
          <w:rFonts w:ascii="Arial" w:eastAsia="Arial" w:hAnsi="Arial" w:cs="Arial"/>
          <w:sz w:val="24"/>
          <w:szCs w:val="24"/>
        </w:rPr>
        <w:t>3</w:t>
      </w:r>
      <w:r w:rsidRPr="00081C8F">
        <w:rPr>
          <w:rFonts w:ascii="Arial" w:eastAsia="Arial" w:hAnsi="Arial" w:cs="Arial"/>
          <w:sz w:val="24"/>
          <w:szCs w:val="24"/>
        </w:rPr>
        <w:t>) para evaluar el sesgo de publicación. Los datos extraídos de los estudios incluidos no fueron suficientes para llevar a cabo el análisis por subgrupos (1</w:t>
      </w:r>
      <w:r w:rsidR="00EB4A44" w:rsidRPr="00081C8F">
        <w:rPr>
          <w:rFonts w:ascii="Arial" w:eastAsia="Arial" w:hAnsi="Arial" w:cs="Arial"/>
          <w:sz w:val="24"/>
          <w:szCs w:val="24"/>
        </w:rPr>
        <w:t>5</w:t>
      </w:r>
      <w:r w:rsidRPr="00081C8F">
        <w:rPr>
          <w:rFonts w:ascii="Arial" w:eastAsia="Arial" w:hAnsi="Arial" w:cs="Arial"/>
          <w:sz w:val="24"/>
          <w:szCs w:val="24"/>
        </w:rPr>
        <w:t>)</w:t>
      </w:r>
      <w:r w:rsidR="00153ED1" w:rsidRPr="00081C8F">
        <w:rPr>
          <w:rFonts w:ascii="Arial" w:eastAsia="Arial" w:hAnsi="Arial" w:cs="Arial"/>
          <w:sz w:val="24"/>
          <w:szCs w:val="24"/>
        </w:rPr>
        <w:t xml:space="preserve"> planteado en el protocolo</w:t>
      </w:r>
      <w:r w:rsidRPr="00081C8F">
        <w:rPr>
          <w:rFonts w:ascii="Arial" w:eastAsia="Arial" w:hAnsi="Arial" w:cs="Arial"/>
          <w:sz w:val="24"/>
          <w:szCs w:val="24"/>
        </w:rPr>
        <w:t>.</w:t>
      </w:r>
      <w:r w:rsidR="00153ED1" w:rsidRPr="00081C8F">
        <w:rPr>
          <w:rFonts w:ascii="Arial" w:eastAsia="Arial" w:hAnsi="Arial" w:cs="Arial"/>
          <w:sz w:val="24"/>
          <w:szCs w:val="24"/>
        </w:rPr>
        <w:t xml:space="preserve">  Sin embargo, como análisis post hoc</w:t>
      </w:r>
      <w:r w:rsidRPr="00081C8F">
        <w:rPr>
          <w:rFonts w:ascii="Arial" w:eastAsia="Arial" w:hAnsi="Arial" w:cs="Arial"/>
          <w:sz w:val="24"/>
          <w:szCs w:val="24"/>
        </w:rPr>
        <w:t xml:space="preserve"> </w:t>
      </w:r>
      <w:r w:rsidR="00153ED1" w:rsidRPr="00081C8F">
        <w:rPr>
          <w:rFonts w:ascii="Arial" w:eastAsia="Arial" w:hAnsi="Arial" w:cs="Arial"/>
          <w:sz w:val="24"/>
          <w:szCs w:val="24"/>
        </w:rPr>
        <w:t xml:space="preserve">se realizó un metaanálisis por subgrupo según la duración de la intervención. </w:t>
      </w:r>
      <w:r w:rsidRPr="00081C8F">
        <w:rPr>
          <w:rFonts w:ascii="Arial" w:eastAsia="Arial" w:hAnsi="Arial" w:cs="Arial"/>
          <w:sz w:val="24"/>
          <w:szCs w:val="24"/>
        </w:rPr>
        <w:t>Debido a que el número de estudios incluidos fue menor a diez</w:t>
      </w:r>
      <w:r w:rsidR="00BF59CA" w:rsidRPr="00081C8F">
        <w:rPr>
          <w:rFonts w:ascii="Arial" w:eastAsia="Arial" w:hAnsi="Arial" w:cs="Arial"/>
          <w:sz w:val="24"/>
          <w:szCs w:val="24"/>
        </w:rPr>
        <w:t>,</w:t>
      </w:r>
      <w:r w:rsidRPr="00081C8F">
        <w:rPr>
          <w:rFonts w:ascii="Arial" w:eastAsia="Arial" w:hAnsi="Arial" w:cs="Arial"/>
          <w:sz w:val="24"/>
          <w:szCs w:val="24"/>
        </w:rPr>
        <w:t xml:space="preserve"> no se realizó metarregresión (1</w:t>
      </w:r>
      <w:r w:rsidR="00EB4A44" w:rsidRPr="00081C8F">
        <w:rPr>
          <w:rFonts w:ascii="Arial" w:eastAsia="Arial" w:hAnsi="Arial" w:cs="Arial"/>
          <w:sz w:val="24"/>
          <w:szCs w:val="24"/>
        </w:rPr>
        <w:t>6</w:t>
      </w:r>
      <w:r w:rsidRPr="00081C8F">
        <w:rPr>
          <w:rFonts w:ascii="Arial" w:eastAsia="Arial" w:hAnsi="Arial" w:cs="Arial"/>
          <w:sz w:val="24"/>
          <w:szCs w:val="24"/>
        </w:rPr>
        <w:t>).</w:t>
      </w:r>
      <w:r w:rsidR="00720DAE" w:rsidRPr="00081C8F">
        <w:rPr>
          <w:rFonts w:ascii="Arial" w:eastAsia="Arial" w:hAnsi="Arial" w:cs="Arial"/>
          <w:sz w:val="24"/>
          <w:szCs w:val="24"/>
        </w:rPr>
        <w:t xml:space="preserve"> </w:t>
      </w:r>
      <w:r w:rsidR="00324A29" w:rsidRPr="00081C8F">
        <w:rPr>
          <w:rFonts w:ascii="Arial" w:eastAsia="Arial" w:hAnsi="Arial" w:cs="Arial"/>
          <w:sz w:val="24"/>
          <w:szCs w:val="24"/>
        </w:rPr>
        <w:t>Tampoco se realizó análisis de sensibilidad (12) debido al limitado n</w:t>
      </w:r>
      <w:r w:rsidR="00153ED1" w:rsidRPr="00081C8F">
        <w:rPr>
          <w:rFonts w:ascii="Arial" w:eastAsia="Arial" w:hAnsi="Arial" w:cs="Arial"/>
          <w:sz w:val="24"/>
          <w:szCs w:val="24"/>
        </w:rPr>
        <w:t>ú</w:t>
      </w:r>
      <w:r w:rsidR="00324A29" w:rsidRPr="00081C8F">
        <w:rPr>
          <w:rFonts w:ascii="Arial" w:eastAsia="Arial" w:hAnsi="Arial" w:cs="Arial"/>
          <w:sz w:val="24"/>
          <w:szCs w:val="24"/>
        </w:rPr>
        <w:t>mero de estudios e información disponible.</w:t>
      </w:r>
    </w:p>
    <w:p w14:paraId="5E2C7DC7" w14:textId="77777777" w:rsidR="00803D17" w:rsidRDefault="00803D17" w:rsidP="00DC1AB9">
      <w:pPr>
        <w:spacing w:after="0" w:line="240" w:lineRule="auto"/>
        <w:ind w:firstLine="680"/>
        <w:jc w:val="both"/>
        <w:rPr>
          <w:rFonts w:ascii="Arial" w:eastAsia="Arial" w:hAnsi="Arial" w:cs="Arial"/>
          <w:sz w:val="24"/>
          <w:szCs w:val="24"/>
        </w:rPr>
      </w:pPr>
    </w:p>
    <w:p w14:paraId="6BE23054" w14:textId="01CB22E4" w:rsidR="00803D17" w:rsidRPr="0082581C" w:rsidRDefault="00803D17" w:rsidP="00DC1AB9">
      <w:pPr>
        <w:spacing w:after="0" w:line="360" w:lineRule="auto"/>
        <w:ind w:firstLine="680"/>
        <w:jc w:val="both"/>
        <w:rPr>
          <w:rFonts w:ascii="Arial" w:eastAsia="Arial" w:hAnsi="Arial" w:cs="Arial"/>
          <w:color w:val="000000" w:themeColor="text1"/>
          <w:sz w:val="24"/>
          <w:szCs w:val="24"/>
          <w:lang w:val="es-CO"/>
        </w:rPr>
      </w:pPr>
      <w:r w:rsidRPr="00081C8F">
        <w:rPr>
          <w:rFonts w:ascii="Arial" w:eastAsia="Arial" w:hAnsi="Arial" w:cs="Arial"/>
          <w:sz w:val="24"/>
          <w:szCs w:val="24"/>
        </w:rPr>
        <w:t>Se decidió</w:t>
      </w:r>
      <w:r w:rsidR="00BF59CA" w:rsidRPr="00081C8F">
        <w:rPr>
          <w:rFonts w:ascii="Arial" w:eastAsia="Arial" w:hAnsi="Arial" w:cs="Arial"/>
          <w:sz w:val="24"/>
          <w:szCs w:val="24"/>
        </w:rPr>
        <w:t xml:space="preserve"> también</w:t>
      </w:r>
      <w:r w:rsidRPr="00081C8F">
        <w:rPr>
          <w:rFonts w:ascii="Arial" w:eastAsia="Arial" w:hAnsi="Arial" w:cs="Arial"/>
          <w:sz w:val="24"/>
          <w:szCs w:val="24"/>
        </w:rPr>
        <w:t xml:space="preserve"> incluir el estudio de Swindells y colaboradores (1</w:t>
      </w:r>
      <w:r w:rsidR="00EB4A44" w:rsidRPr="00081C8F">
        <w:rPr>
          <w:rFonts w:ascii="Arial" w:eastAsia="Arial" w:hAnsi="Arial" w:cs="Arial"/>
          <w:sz w:val="24"/>
          <w:szCs w:val="24"/>
        </w:rPr>
        <w:t>0</w:t>
      </w:r>
      <w:r w:rsidRPr="00081C8F">
        <w:rPr>
          <w:rFonts w:ascii="Arial" w:eastAsia="Arial" w:hAnsi="Arial" w:cs="Arial"/>
          <w:sz w:val="24"/>
          <w:szCs w:val="24"/>
        </w:rPr>
        <w:t>) con la intervención rifapentina/isoniazida por 1 mes, en vista de que la eficacia fue similar a la rifapentina/isoniazida por 3 meses en estudios previos (2</w:t>
      </w:r>
      <w:r w:rsidR="0098495C" w:rsidRPr="00081C8F">
        <w:rPr>
          <w:rFonts w:ascii="Arial" w:eastAsia="Arial" w:hAnsi="Arial" w:cs="Arial"/>
          <w:sz w:val="24"/>
          <w:szCs w:val="24"/>
        </w:rPr>
        <w:t>9</w:t>
      </w:r>
      <w:r w:rsidRPr="00081C8F">
        <w:rPr>
          <w:rFonts w:ascii="Arial" w:eastAsia="Arial" w:hAnsi="Arial" w:cs="Arial"/>
          <w:sz w:val="24"/>
          <w:szCs w:val="24"/>
        </w:rPr>
        <w:t>).</w:t>
      </w:r>
      <w:r w:rsidR="00720DAE" w:rsidRPr="00081C8F">
        <w:rPr>
          <w:rFonts w:ascii="Arial" w:eastAsia="Arial" w:hAnsi="Arial" w:cs="Arial"/>
          <w:sz w:val="24"/>
          <w:szCs w:val="24"/>
        </w:rPr>
        <w:t xml:space="preserve"> </w:t>
      </w:r>
      <w:r w:rsidRPr="00081C8F">
        <w:rPr>
          <w:rFonts w:ascii="Arial" w:eastAsia="Arial" w:hAnsi="Arial" w:cs="Arial"/>
          <w:sz w:val="24"/>
          <w:szCs w:val="24"/>
        </w:rPr>
        <w:t xml:space="preserve">Asimismo, se decidió incluir el estudio de Martinson y colaboradores (18) con el comparador isoniazida sola por </w:t>
      </w:r>
      <w:r w:rsidR="00F056D5" w:rsidRPr="00081C8F">
        <w:rPr>
          <w:rFonts w:ascii="Arial" w:eastAsia="Arial" w:hAnsi="Arial" w:cs="Arial"/>
          <w:sz w:val="24"/>
          <w:szCs w:val="24"/>
        </w:rPr>
        <w:t>seis</w:t>
      </w:r>
      <w:r w:rsidRPr="00081C8F">
        <w:rPr>
          <w:rFonts w:ascii="Arial" w:eastAsia="Arial" w:hAnsi="Arial" w:cs="Arial"/>
          <w:sz w:val="24"/>
          <w:szCs w:val="24"/>
        </w:rPr>
        <w:t xml:space="preserve"> meses ante la evidencia de eficacia similar con la isoniazida sola por </w:t>
      </w:r>
      <w:r w:rsidR="00F056D5" w:rsidRPr="00081C8F">
        <w:rPr>
          <w:rFonts w:ascii="Arial" w:eastAsia="Arial" w:hAnsi="Arial" w:cs="Arial"/>
          <w:sz w:val="24"/>
          <w:szCs w:val="24"/>
        </w:rPr>
        <w:t>nueve</w:t>
      </w:r>
      <w:r w:rsidRPr="00081C8F">
        <w:rPr>
          <w:rFonts w:ascii="Arial" w:eastAsia="Arial" w:hAnsi="Arial" w:cs="Arial"/>
          <w:sz w:val="24"/>
          <w:szCs w:val="24"/>
        </w:rPr>
        <w:t xml:space="preserve"> meses (</w:t>
      </w:r>
      <w:r w:rsidR="0098495C" w:rsidRPr="00081C8F">
        <w:rPr>
          <w:rFonts w:ascii="Arial" w:eastAsia="Arial" w:hAnsi="Arial" w:cs="Arial"/>
          <w:sz w:val="24"/>
          <w:szCs w:val="24"/>
        </w:rPr>
        <w:t>30</w:t>
      </w:r>
      <w:r w:rsidRPr="00081C8F">
        <w:rPr>
          <w:rFonts w:ascii="Arial" w:eastAsia="Arial" w:hAnsi="Arial" w:cs="Arial"/>
          <w:sz w:val="24"/>
          <w:szCs w:val="24"/>
        </w:rPr>
        <w:t>).</w:t>
      </w:r>
      <w:r w:rsidRPr="5141EA98">
        <w:rPr>
          <w:rFonts w:ascii="Arial" w:eastAsia="Arial" w:hAnsi="Arial" w:cs="Arial"/>
          <w:sz w:val="24"/>
          <w:szCs w:val="24"/>
        </w:rPr>
        <w:t xml:space="preserve"> </w:t>
      </w:r>
      <w:r>
        <w:rPr>
          <w:rFonts w:ascii="Arial" w:eastAsia="Arial" w:hAnsi="Arial" w:cs="Arial"/>
          <w:sz w:val="24"/>
          <w:szCs w:val="24"/>
        </w:rPr>
        <w:t xml:space="preserve">Adicionalmente, los tres estudios de cohortes incluían personas con diferentes enfermedades causantes de inmunodepresión. Por lo tanto, </w:t>
      </w:r>
      <w:r w:rsidRPr="5141EA98">
        <w:rPr>
          <w:rFonts w:ascii="Arial" w:eastAsia="Arial" w:hAnsi="Arial" w:cs="Arial"/>
          <w:sz w:val="24"/>
          <w:szCs w:val="24"/>
        </w:rPr>
        <w:t>tomando en cuenta la heterogeneidad en la duración del tratamiento,</w:t>
      </w:r>
      <w:r>
        <w:rPr>
          <w:rFonts w:ascii="Arial" w:eastAsia="Arial" w:hAnsi="Arial" w:cs="Arial"/>
          <w:sz w:val="24"/>
          <w:szCs w:val="24"/>
        </w:rPr>
        <w:t xml:space="preserve"> y la causa de la inmunodepresión se realizaron</w:t>
      </w:r>
      <w:r w:rsidRPr="5141EA98">
        <w:rPr>
          <w:rFonts w:ascii="Arial" w:eastAsia="Arial" w:hAnsi="Arial" w:cs="Arial"/>
          <w:sz w:val="24"/>
          <w:szCs w:val="24"/>
        </w:rPr>
        <w:t xml:space="preserve"> </w:t>
      </w:r>
      <w:r w:rsidRPr="5141EA98">
        <w:rPr>
          <w:rFonts w:ascii="Arial" w:eastAsia="Arial" w:hAnsi="Arial" w:cs="Arial"/>
          <w:color w:val="000000" w:themeColor="text1"/>
          <w:sz w:val="24"/>
          <w:szCs w:val="24"/>
          <w:lang w:val="es-CO"/>
        </w:rPr>
        <w:t>metaanálisis por subgrupos</w:t>
      </w:r>
      <w:r>
        <w:rPr>
          <w:rFonts w:ascii="Arial" w:eastAsia="Arial" w:hAnsi="Arial" w:cs="Arial"/>
          <w:color w:val="000000" w:themeColor="text1"/>
          <w:sz w:val="24"/>
          <w:szCs w:val="24"/>
          <w:lang w:val="es-CO"/>
        </w:rPr>
        <w:t xml:space="preserve"> (1</w:t>
      </w:r>
      <w:r w:rsidR="00EB4A44">
        <w:rPr>
          <w:rFonts w:ascii="Arial" w:eastAsia="Arial" w:hAnsi="Arial" w:cs="Arial"/>
          <w:color w:val="000000" w:themeColor="text1"/>
          <w:sz w:val="24"/>
          <w:szCs w:val="24"/>
          <w:lang w:val="es-CO"/>
        </w:rPr>
        <w:t>2</w:t>
      </w:r>
      <w:r>
        <w:rPr>
          <w:rFonts w:ascii="Arial" w:eastAsia="Arial" w:hAnsi="Arial" w:cs="Arial"/>
          <w:color w:val="000000" w:themeColor="text1"/>
          <w:sz w:val="24"/>
          <w:szCs w:val="24"/>
          <w:lang w:val="es-CO"/>
        </w:rPr>
        <w:t>)</w:t>
      </w:r>
      <w:r>
        <w:rPr>
          <w:rFonts w:ascii="Arial" w:eastAsia="Arial" w:hAnsi="Arial" w:cs="Arial"/>
          <w:sz w:val="24"/>
          <w:szCs w:val="24"/>
        </w:rPr>
        <w:t xml:space="preserve"> </w:t>
      </w:r>
      <w:r w:rsidRPr="5141EA98">
        <w:rPr>
          <w:rFonts w:ascii="Arial" w:eastAsia="Arial" w:hAnsi="Arial" w:cs="Arial"/>
          <w:sz w:val="24"/>
          <w:szCs w:val="24"/>
        </w:rPr>
        <w:t xml:space="preserve">usando un </w:t>
      </w:r>
      <w:r w:rsidRPr="5141EA98">
        <w:rPr>
          <w:rFonts w:ascii="Arial" w:eastAsia="Arial" w:hAnsi="Arial" w:cs="Arial"/>
          <w:color w:val="000000" w:themeColor="text1"/>
          <w:sz w:val="24"/>
          <w:szCs w:val="24"/>
          <w:lang w:val="es-CO"/>
        </w:rPr>
        <w:t xml:space="preserve">modelo de efectos aleatorios a través del método de </w:t>
      </w:r>
      <w:r w:rsidRPr="00E24416">
        <w:rPr>
          <w:rFonts w:ascii="Arial" w:eastAsia="Arial" w:hAnsi="Arial" w:cs="Arial"/>
          <w:i/>
          <w:iCs/>
          <w:color w:val="000000" w:themeColor="text1"/>
          <w:sz w:val="24"/>
          <w:szCs w:val="24"/>
          <w:lang w:val="es-CO"/>
        </w:rPr>
        <w:t>DerSimonian-Laird</w:t>
      </w:r>
      <w:r>
        <w:rPr>
          <w:rFonts w:ascii="Arial" w:eastAsia="Arial" w:hAnsi="Arial" w:cs="Arial"/>
          <w:color w:val="000000" w:themeColor="text1"/>
          <w:sz w:val="24"/>
          <w:szCs w:val="24"/>
          <w:lang w:val="es-CO"/>
        </w:rPr>
        <w:t xml:space="preserve"> (1</w:t>
      </w:r>
      <w:r w:rsidR="00EB4A44">
        <w:rPr>
          <w:rFonts w:ascii="Arial" w:eastAsia="Arial" w:hAnsi="Arial" w:cs="Arial"/>
          <w:color w:val="000000" w:themeColor="text1"/>
          <w:sz w:val="24"/>
          <w:szCs w:val="24"/>
          <w:lang w:val="es-CO"/>
        </w:rPr>
        <w:t>4</w:t>
      </w:r>
      <w:r>
        <w:rPr>
          <w:rFonts w:ascii="Arial" w:eastAsia="Arial" w:hAnsi="Arial" w:cs="Arial"/>
          <w:color w:val="000000" w:themeColor="text1"/>
          <w:sz w:val="24"/>
          <w:szCs w:val="24"/>
          <w:lang w:val="es-CO"/>
        </w:rPr>
        <w:t xml:space="preserve">), sin embargo, los resultados pueden estar limitados. </w:t>
      </w:r>
    </w:p>
    <w:p w14:paraId="5F64FC14" w14:textId="77777777" w:rsidR="00803D17" w:rsidDel="003745F3" w:rsidRDefault="00803D17" w:rsidP="00DC1AB9">
      <w:pPr>
        <w:spacing w:after="0" w:line="360" w:lineRule="auto"/>
        <w:ind w:firstLine="680"/>
        <w:jc w:val="both"/>
        <w:rPr>
          <w:rFonts w:ascii="Arial" w:eastAsia="Arial" w:hAnsi="Arial" w:cs="Arial"/>
          <w:color w:val="000000" w:themeColor="text1"/>
          <w:sz w:val="24"/>
          <w:szCs w:val="24"/>
          <w:lang w:val="es-CO"/>
        </w:rPr>
      </w:pPr>
    </w:p>
    <w:p w14:paraId="402764F5" w14:textId="235734DC" w:rsidR="00803D17" w:rsidDel="003745F3" w:rsidRDefault="00803D17" w:rsidP="00DC1AB9">
      <w:pPr>
        <w:spacing w:after="0" w:line="360" w:lineRule="auto"/>
        <w:ind w:firstLine="680"/>
        <w:jc w:val="both"/>
        <w:rPr>
          <w:rFonts w:ascii="Arial" w:eastAsia="Arial" w:hAnsi="Arial" w:cs="Arial"/>
          <w:sz w:val="24"/>
          <w:szCs w:val="24"/>
        </w:rPr>
      </w:pPr>
      <w:r w:rsidRPr="5141EA98" w:rsidDel="003745F3">
        <w:rPr>
          <w:rFonts w:ascii="Arial" w:eastAsia="Arial" w:hAnsi="Arial" w:cs="Arial"/>
          <w:sz w:val="24"/>
          <w:szCs w:val="24"/>
        </w:rPr>
        <w:lastRenderedPageBreak/>
        <w:t>Aunque la medida de heterogeneidad (I</w:t>
      </w:r>
      <w:r w:rsidRPr="5141EA98" w:rsidDel="003745F3">
        <w:rPr>
          <w:rFonts w:ascii="Arial" w:eastAsia="Arial" w:hAnsi="Arial" w:cs="Arial"/>
          <w:sz w:val="24"/>
          <w:szCs w:val="24"/>
          <w:vertAlign w:val="superscript"/>
        </w:rPr>
        <w:t>2</w:t>
      </w:r>
      <w:r w:rsidRPr="5141EA98" w:rsidDel="003745F3">
        <w:rPr>
          <w:rFonts w:ascii="Arial" w:eastAsia="Arial" w:hAnsi="Arial" w:cs="Arial"/>
          <w:sz w:val="24"/>
          <w:szCs w:val="24"/>
        </w:rPr>
        <w:t>: proporción de variabilidad que se puede explicar por estudios individuales) fue baja en algunas comparaciones, estas estimaciones pueden incurrir en fluctuaciones. La heterogeneidad ha demostrado ser un problema en los metaanálisis que involucran un número menor de estudios o eventos (</w:t>
      </w:r>
      <w:r w:rsidR="00E42DC8" w:rsidRPr="00E42DC8">
        <w:rPr>
          <w:rFonts w:ascii="Arial" w:eastAsia="Arial" w:hAnsi="Arial" w:cs="Arial"/>
          <w:sz w:val="24"/>
          <w:szCs w:val="24"/>
        </w:rPr>
        <w:t>3</w:t>
      </w:r>
      <w:r w:rsidR="0098495C">
        <w:rPr>
          <w:rFonts w:ascii="Arial" w:eastAsia="Arial" w:hAnsi="Arial" w:cs="Arial"/>
          <w:sz w:val="24"/>
          <w:szCs w:val="24"/>
        </w:rPr>
        <w:t>1</w:t>
      </w:r>
      <w:r w:rsidRPr="5141EA98" w:rsidDel="003745F3">
        <w:rPr>
          <w:rFonts w:ascii="Arial" w:eastAsia="Arial" w:hAnsi="Arial" w:cs="Arial"/>
          <w:sz w:val="24"/>
          <w:szCs w:val="24"/>
        </w:rPr>
        <w:t>)</w:t>
      </w:r>
      <w:r w:rsidDel="003745F3">
        <w:rPr>
          <w:rFonts w:ascii="Arial" w:eastAsia="Arial" w:hAnsi="Arial" w:cs="Arial"/>
          <w:sz w:val="24"/>
          <w:szCs w:val="24"/>
        </w:rPr>
        <w:t>.</w:t>
      </w:r>
    </w:p>
    <w:p w14:paraId="4258CEBD" w14:textId="77777777" w:rsidR="00803D17" w:rsidRDefault="00803D17" w:rsidP="00803D17">
      <w:pPr>
        <w:spacing w:after="0" w:line="360" w:lineRule="auto"/>
        <w:jc w:val="both"/>
        <w:rPr>
          <w:rFonts w:ascii="Arial" w:eastAsia="Arial" w:hAnsi="Arial" w:cs="Arial"/>
          <w:sz w:val="24"/>
          <w:szCs w:val="24"/>
        </w:rPr>
      </w:pPr>
    </w:p>
    <w:p w14:paraId="64000A4A" w14:textId="4221DFDA" w:rsidR="00803D17" w:rsidRDefault="00803D17" w:rsidP="00720DAE">
      <w:pPr>
        <w:pStyle w:val="Ttulo2"/>
      </w:pPr>
      <w:bookmarkStart w:id="29" w:name="_Toc85474288"/>
      <w:r w:rsidRPr="5141EA98">
        <w:t>Implicaciones de los resultados</w:t>
      </w:r>
      <w:bookmarkEnd w:id="29"/>
    </w:p>
    <w:p w14:paraId="28959453" w14:textId="77777777" w:rsidR="00DC1AB9" w:rsidRPr="00DC1AB9" w:rsidRDefault="00DC1AB9" w:rsidP="00DC1AB9"/>
    <w:p w14:paraId="699A681A" w14:textId="79D9C3DA" w:rsidR="00976B1C" w:rsidRPr="00081C8F" w:rsidRDefault="00803D17" w:rsidP="00DC1AB9">
      <w:pPr>
        <w:spacing w:after="0" w:line="360" w:lineRule="auto"/>
        <w:ind w:firstLine="680"/>
        <w:jc w:val="both"/>
        <w:rPr>
          <w:rFonts w:ascii="Arial" w:eastAsia="Arial" w:hAnsi="Arial" w:cs="Arial"/>
          <w:sz w:val="24"/>
          <w:szCs w:val="24"/>
        </w:rPr>
      </w:pPr>
      <w:r w:rsidRPr="5141EA98">
        <w:rPr>
          <w:rFonts w:ascii="Arial" w:eastAsia="Arial" w:hAnsi="Arial" w:cs="Arial"/>
          <w:color w:val="000000" w:themeColor="text1"/>
          <w:sz w:val="24"/>
          <w:szCs w:val="24"/>
        </w:rPr>
        <w:t>Esta revisión sistemática encontró que existen solo tres ECA que han intentado evaluar la eficacia de la rifapentina/isoniazida comparada con isoniazida sola en el tratamiento de la ILTB para prevenir la TB activa en personas que viven con VIH.</w:t>
      </w:r>
      <w:r w:rsidR="00720DAE">
        <w:rPr>
          <w:rFonts w:ascii="Arial" w:eastAsia="Arial" w:hAnsi="Arial" w:cs="Arial"/>
          <w:color w:val="000000" w:themeColor="text1"/>
          <w:sz w:val="24"/>
          <w:szCs w:val="24"/>
        </w:rPr>
        <w:t xml:space="preserve"> </w:t>
      </w:r>
      <w:r w:rsidRPr="5141EA98">
        <w:rPr>
          <w:rFonts w:ascii="Arial" w:eastAsia="Arial" w:hAnsi="Arial" w:cs="Arial"/>
          <w:color w:val="000000" w:themeColor="text1"/>
          <w:sz w:val="24"/>
          <w:szCs w:val="24"/>
        </w:rPr>
        <w:t xml:space="preserve">No se encontró ningún ECA que haya intentado evaluar la eficacia de esta intervención en personas con inmunodepresión secundaria sin infección por VIH. Tampoco existen suficientes estudios de </w:t>
      </w:r>
      <w:r>
        <w:rPr>
          <w:rFonts w:ascii="Arial" w:eastAsia="Arial" w:hAnsi="Arial" w:cs="Arial"/>
          <w:color w:val="000000" w:themeColor="text1"/>
          <w:sz w:val="24"/>
          <w:szCs w:val="24"/>
        </w:rPr>
        <w:t>cohortes</w:t>
      </w:r>
      <w:r w:rsidRPr="5141EA98">
        <w:rPr>
          <w:rFonts w:ascii="Arial" w:eastAsia="Arial" w:hAnsi="Arial" w:cs="Arial"/>
          <w:color w:val="000000" w:themeColor="text1"/>
          <w:sz w:val="24"/>
          <w:szCs w:val="24"/>
        </w:rPr>
        <w:t xml:space="preserve"> prospectivos, y los pocos existentes tienen serio riesgo de sesgo.</w:t>
      </w:r>
      <w:r w:rsidR="00976B1C">
        <w:rPr>
          <w:rFonts w:ascii="Arial" w:eastAsia="Arial" w:hAnsi="Arial" w:cs="Arial"/>
          <w:color w:val="000000" w:themeColor="text1"/>
          <w:sz w:val="24"/>
          <w:szCs w:val="24"/>
        </w:rPr>
        <w:t xml:space="preserve"> Por lo tanto, </w:t>
      </w:r>
      <w:r w:rsidR="00976B1C">
        <w:rPr>
          <w:rFonts w:ascii="Arial" w:eastAsia="Arial" w:hAnsi="Arial" w:cs="Arial"/>
          <w:sz w:val="24"/>
          <w:szCs w:val="24"/>
        </w:rPr>
        <w:t>s</w:t>
      </w:r>
      <w:r w:rsidRPr="00596A7D">
        <w:rPr>
          <w:rFonts w:ascii="Arial" w:eastAsia="Arial" w:hAnsi="Arial" w:cs="Arial"/>
          <w:sz w:val="24"/>
          <w:szCs w:val="24"/>
        </w:rPr>
        <w:t>e</w:t>
      </w:r>
      <w:r>
        <w:rPr>
          <w:rFonts w:ascii="Arial" w:eastAsia="Arial" w:hAnsi="Arial" w:cs="Arial"/>
          <w:sz w:val="24"/>
          <w:szCs w:val="24"/>
        </w:rPr>
        <w:t xml:space="preserve"> </w:t>
      </w:r>
      <w:r w:rsidRPr="00596A7D">
        <w:rPr>
          <w:rFonts w:ascii="Arial" w:eastAsia="Arial" w:hAnsi="Arial" w:cs="Arial"/>
          <w:sz w:val="24"/>
          <w:szCs w:val="24"/>
        </w:rPr>
        <w:t xml:space="preserve">requiere realizar </w:t>
      </w:r>
      <w:r w:rsidRPr="5141EA98">
        <w:rPr>
          <w:rFonts w:ascii="Arial" w:eastAsia="Arial" w:hAnsi="Arial" w:cs="Arial"/>
          <w:sz w:val="24"/>
          <w:szCs w:val="24"/>
        </w:rPr>
        <w:t xml:space="preserve">ECA </w:t>
      </w:r>
      <w:r>
        <w:rPr>
          <w:rFonts w:ascii="Arial" w:eastAsia="Arial" w:hAnsi="Arial" w:cs="Arial"/>
          <w:sz w:val="24"/>
          <w:szCs w:val="24"/>
        </w:rPr>
        <w:t xml:space="preserve">de personas que vivan con </w:t>
      </w:r>
      <w:r w:rsidRPr="00081C8F">
        <w:rPr>
          <w:rFonts w:ascii="Arial" w:eastAsia="Arial" w:hAnsi="Arial" w:cs="Arial"/>
          <w:sz w:val="24"/>
          <w:szCs w:val="24"/>
        </w:rPr>
        <w:t>VIH considerando</w:t>
      </w:r>
      <w:r w:rsidR="00F056D5" w:rsidRPr="00081C8F">
        <w:rPr>
          <w:rFonts w:ascii="Arial" w:eastAsia="Arial" w:hAnsi="Arial" w:cs="Arial"/>
          <w:sz w:val="24"/>
          <w:szCs w:val="24"/>
        </w:rPr>
        <w:t xml:space="preserve"> el</w:t>
      </w:r>
      <w:r w:rsidRPr="00081C8F">
        <w:rPr>
          <w:rFonts w:ascii="Arial" w:eastAsia="Arial" w:hAnsi="Arial" w:cs="Arial"/>
          <w:sz w:val="24"/>
          <w:szCs w:val="24"/>
        </w:rPr>
        <w:t xml:space="preserve"> conteo de linfocitos T CD4+, niveles de carga viral plasmática, tratamientos antirretrovirales, tipos de administración (con y sin supervisión) del tratamiento de la ILTB, características sociodemográficas, comorbilidades y sus terapias que podrían causar interacción farmacológica y otros aspectos relacionados a la adherencia.</w:t>
      </w:r>
      <w:r w:rsidR="00720DAE" w:rsidRPr="00081C8F">
        <w:rPr>
          <w:rFonts w:ascii="Arial" w:eastAsia="Arial" w:hAnsi="Arial" w:cs="Arial"/>
          <w:sz w:val="24"/>
          <w:szCs w:val="24"/>
        </w:rPr>
        <w:t xml:space="preserve"> </w:t>
      </w:r>
    </w:p>
    <w:p w14:paraId="32A1DD44" w14:textId="58C9CD2B" w:rsidR="00803D17" w:rsidRPr="00081C8F" w:rsidRDefault="00720DAE" w:rsidP="00DC1AB9">
      <w:pPr>
        <w:spacing w:after="0" w:line="240" w:lineRule="auto"/>
        <w:ind w:firstLine="680"/>
        <w:jc w:val="both"/>
        <w:rPr>
          <w:rFonts w:ascii="Arial" w:eastAsia="Arial" w:hAnsi="Arial" w:cs="Arial"/>
          <w:sz w:val="24"/>
          <w:szCs w:val="24"/>
        </w:rPr>
      </w:pPr>
      <w:r w:rsidRPr="00081C8F">
        <w:rPr>
          <w:rFonts w:ascii="Arial" w:eastAsia="Arial" w:hAnsi="Arial" w:cs="Arial"/>
          <w:sz w:val="24"/>
          <w:szCs w:val="24"/>
        </w:rPr>
        <w:t xml:space="preserve"> </w:t>
      </w:r>
    </w:p>
    <w:p w14:paraId="06B23773" w14:textId="556D2599" w:rsidR="00803D17" w:rsidDel="00DF6714" w:rsidRDefault="00803D17" w:rsidP="00DC1AB9">
      <w:pPr>
        <w:spacing w:after="0" w:line="360" w:lineRule="auto"/>
        <w:ind w:firstLine="680"/>
        <w:jc w:val="both"/>
        <w:rPr>
          <w:rFonts w:ascii="Arial" w:eastAsia="Arial" w:hAnsi="Arial" w:cs="Arial"/>
          <w:sz w:val="24"/>
          <w:szCs w:val="24"/>
        </w:rPr>
      </w:pPr>
      <w:r w:rsidRPr="001E3B98" w:rsidDel="00DF6714">
        <w:rPr>
          <w:rFonts w:ascii="Arial" w:eastAsia="Arial" w:hAnsi="Arial" w:cs="Arial"/>
          <w:sz w:val="24"/>
          <w:szCs w:val="24"/>
        </w:rPr>
        <w:t>La</w:t>
      </w:r>
      <w:r>
        <w:rPr>
          <w:rFonts w:ascii="Arial" w:eastAsia="Arial" w:hAnsi="Arial" w:cs="Arial"/>
          <w:sz w:val="24"/>
          <w:szCs w:val="24"/>
        </w:rPr>
        <w:t xml:space="preserve"> </w:t>
      </w:r>
      <w:r w:rsidRPr="001E3B98" w:rsidDel="00DF6714">
        <w:rPr>
          <w:rFonts w:ascii="Arial" w:eastAsia="Arial" w:hAnsi="Arial" w:cs="Arial"/>
          <w:sz w:val="24"/>
          <w:szCs w:val="24"/>
        </w:rPr>
        <w:t xml:space="preserve">combinación rifapentina/isoniazida </w:t>
      </w:r>
      <w:r>
        <w:rPr>
          <w:rFonts w:ascii="Arial" w:eastAsia="Arial" w:hAnsi="Arial" w:cs="Arial"/>
          <w:sz w:val="24"/>
          <w:szCs w:val="24"/>
        </w:rPr>
        <w:t xml:space="preserve">de corta duración </w:t>
      </w:r>
      <w:r w:rsidRPr="001E3B98" w:rsidDel="00DF6714">
        <w:rPr>
          <w:rFonts w:ascii="Arial" w:eastAsia="Arial" w:hAnsi="Arial" w:cs="Arial"/>
          <w:sz w:val="24"/>
          <w:szCs w:val="24"/>
        </w:rPr>
        <w:t>parece tener la ventaja de ser menos hepatotóxica.</w:t>
      </w:r>
      <w:r w:rsidDel="00DF6714">
        <w:rPr>
          <w:rFonts w:ascii="Arial" w:eastAsia="Arial" w:hAnsi="Arial" w:cs="Arial"/>
          <w:sz w:val="24"/>
          <w:szCs w:val="24"/>
        </w:rPr>
        <w:t xml:space="preserve"> S</w:t>
      </w:r>
      <w:r w:rsidRPr="5141EA98" w:rsidDel="00DF6714">
        <w:rPr>
          <w:rFonts w:ascii="Arial" w:eastAsia="Arial" w:hAnsi="Arial" w:cs="Arial"/>
          <w:sz w:val="24"/>
          <w:szCs w:val="24"/>
        </w:rPr>
        <w:t xml:space="preserve">in embargo, hacen falta ECA que </w:t>
      </w:r>
      <w:r w:rsidRPr="00081C8F" w:rsidDel="00DF6714">
        <w:rPr>
          <w:rFonts w:ascii="Arial" w:eastAsia="Arial" w:hAnsi="Arial" w:cs="Arial"/>
          <w:sz w:val="24"/>
          <w:szCs w:val="24"/>
        </w:rPr>
        <w:t>controlen los factores de confusión para mejorar la calidad de la evidencia</w:t>
      </w:r>
      <w:r w:rsidRPr="00081C8F">
        <w:rPr>
          <w:rFonts w:ascii="Arial" w:eastAsia="Arial" w:hAnsi="Arial" w:cs="Arial"/>
          <w:sz w:val="24"/>
          <w:szCs w:val="24"/>
        </w:rPr>
        <w:t>, entre ellos</w:t>
      </w:r>
      <w:r w:rsidR="00F056D5" w:rsidRPr="00081C8F">
        <w:rPr>
          <w:rFonts w:ascii="Arial" w:eastAsia="Arial" w:hAnsi="Arial" w:cs="Arial"/>
          <w:sz w:val="24"/>
          <w:szCs w:val="24"/>
        </w:rPr>
        <w:t xml:space="preserve"> están el</w:t>
      </w:r>
      <w:r w:rsidRPr="00081C8F">
        <w:rPr>
          <w:rFonts w:ascii="Arial" w:eastAsia="Arial" w:hAnsi="Arial" w:cs="Arial"/>
          <w:sz w:val="24"/>
          <w:szCs w:val="24"/>
        </w:rPr>
        <w:t xml:space="preserve"> índice de masa corporal, ingesta de alcohol, fenotipo acetilador, infección por virus de la hepatitis B y C, comorbilidades y sus tratamientos, características sociodemográficas y clínicas.</w:t>
      </w:r>
      <w:r w:rsidRPr="00081C8F" w:rsidDel="00DF6714">
        <w:rPr>
          <w:rFonts w:ascii="Arial" w:eastAsia="Arial" w:hAnsi="Arial" w:cs="Arial"/>
          <w:sz w:val="24"/>
          <w:szCs w:val="24"/>
        </w:rPr>
        <w:t xml:space="preserve"> Igualmente, para el desenlace cumplimiento del tratamiento se requieren estudios que consideren el tipo de administración, el nivel educativo y socioeconómico, la percepción del riesgo, la relación proveedor-paciente, entre otros.</w:t>
      </w:r>
      <w:r w:rsidRPr="5141EA98" w:rsidDel="00DF6714">
        <w:rPr>
          <w:rFonts w:ascii="Arial" w:eastAsia="Arial" w:hAnsi="Arial" w:cs="Arial"/>
          <w:sz w:val="24"/>
          <w:szCs w:val="24"/>
        </w:rPr>
        <w:t xml:space="preserve"> Adicionalmente, surgen inquietudes </w:t>
      </w:r>
      <w:r w:rsidR="00F056D5">
        <w:rPr>
          <w:rFonts w:ascii="Arial" w:eastAsia="Arial" w:hAnsi="Arial" w:cs="Arial"/>
          <w:sz w:val="24"/>
          <w:szCs w:val="24"/>
        </w:rPr>
        <w:t>sobre</w:t>
      </w:r>
      <w:r w:rsidRPr="5141EA98" w:rsidDel="00DF6714">
        <w:rPr>
          <w:rFonts w:ascii="Arial" w:eastAsia="Arial" w:hAnsi="Arial" w:cs="Arial"/>
          <w:sz w:val="24"/>
          <w:szCs w:val="24"/>
        </w:rPr>
        <w:t xml:space="preserve"> la implementación de rifapentina/isoniazida autoadministrada sin supervisión, tanto en investigación</w:t>
      </w:r>
      <w:r w:rsidR="00F80401">
        <w:rPr>
          <w:rFonts w:ascii="Arial" w:eastAsia="Arial" w:hAnsi="Arial" w:cs="Arial"/>
          <w:sz w:val="24"/>
          <w:szCs w:val="24"/>
        </w:rPr>
        <w:t xml:space="preserve"> controlada</w:t>
      </w:r>
      <w:r w:rsidRPr="5141EA98" w:rsidDel="00DF6714">
        <w:rPr>
          <w:rFonts w:ascii="Arial" w:eastAsia="Arial" w:hAnsi="Arial" w:cs="Arial"/>
          <w:sz w:val="24"/>
          <w:szCs w:val="24"/>
        </w:rPr>
        <w:t xml:space="preserve"> </w:t>
      </w:r>
      <w:r w:rsidDel="00DF6714">
        <w:rPr>
          <w:rFonts w:ascii="Arial" w:eastAsia="Arial" w:hAnsi="Arial" w:cs="Arial"/>
          <w:sz w:val="24"/>
          <w:szCs w:val="24"/>
        </w:rPr>
        <w:t>como en condiciones</w:t>
      </w:r>
      <w:r w:rsidRPr="5141EA98" w:rsidDel="00DF6714">
        <w:rPr>
          <w:rFonts w:ascii="Arial" w:eastAsia="Arial" w:hAnsi="Arial" w:cs="Arial"/>
          <w:sz w:val="24"/>
          <w:szCs w:val="24"/>
        </w:rPr>
        <w:t xml:space="preserve"> real</w:t>
      </w:r>
      <w:r w:rsidDel="00DF6714">
        <w:rPr>
          <w:rFonts w:ascii="Arial" w:eastAsia="Arial" w:hAnsi="Arial" w:cs="Arial"/>
          <w:sz w:val="24"/>
          <w:szCs w:val="24"/>
        </w:rPr>
        <w:t>es</w:t>
      </w:r>
      <w:r w:rsidRPr="5141EA98" w:rsidDel="00DF6714">
        <w:rPr>
          <w:rFonts w:ascii="Arial" w:eastAsia="Arial" w:hAnsi="Arial" w:cs="Arial"/>
          <w:sz w:val="24"/>
          <w:szCs w:val="24"/>
        </w:rPr>
        <w:t>.</w:t>
      </w:r>
    </w:p>
    <w:p w14:paraId="4215A703" w14:textId="31BCCD87" w:rsidR="00803D17" w:rsidRDefault="00803D17" w:rsidP="00DC1AB9">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lastRenderedPageBreak/>
        <w:t>El número de casos de reactivación de la TB no solo depende de la eficacia y la culminación del tratamiento, también depende de manera crucial, de la tasa de aceptación (es decir, la proporción de pacientes a los que se les ofrece tratamiento y eligen comenzarlo). Las tasas de aceptación para el tratamiento de la ILTB son generalmente bajas, impulsando la carga actual de TB</w:t>
      </w:r>
      <w:r>
        <w:rPr>
          <w:rFonts w:ascii="Arial" w:eastAsia="Arial" w:hAnsi="Arial" w:cs="Arial"/>
          <w:sz w:val="24"/>
          <w:szCs w:val="24"/>
        </w:rPr>
        <w:t xml:space="preserve"> en el mundo (</w:t>
      </w:r>
      <w:r w:rsidR="00E42DC8" w:rsidRPr="00E42DC8">
        <w:rPr>
          <w:rFonts w:ascii="Arial" w:eastAsia="Arial" w:hAnsi="Arial" w:cs="Arial"/>
          <w:sz w:val="24"/>
          <w:szCs w:val="24"/>
        </w:rPr>
        <w:t>3</w:t>
      </w:r>
      <w:r w:rsidR="0098495C">
        <w:rPr>
          <w:rFonts w:ascii="Arial" w:eastAsia="Arial" w:hAnsi="Arial" w:cs="Arial"/>
          <w:sz w:val="24"/>
          <w:szCs w:val="24"/>
        </w:rPr>
        <w:t>2</w:t>
      </w:r>
      <w:r>
        <w:rPr>
          <w:rFonts w:ascii="Arial" w:eastAsia="Arial" w:hAnsi="Arial" w:cs="Arial"/>
          <w:sz w:val="24"/>
          <w:szCs w:val="24"/>
        </w:rPr>
        <w:t>)</w:t>
      </w:r>
      <w:r w:rsidRPr="5141EA98">
        <w:rPr>
          <w:rFonts w:ascii="Arial" w:eastAsia="Arial" w:hAnsi="Arial" w:cs="Arial"/>
          <w:sz w:val="24"/>
          <w:szCs w:val="24"/>
        </w:rPr>
        <w:t>. Desafortunadamente, los estudios identificados no informaron la tasa de aceptación, por lo tanto, se requiere</w:t>
      </w:r>
      <w:r>
        <w:rPr>
          <w:rFonts w:ascii="Arial" w:eastAsia="Arial" w:hAnsi="Arial" w:cs="Arial"/>
          <w:sz w:val="24"/>
          <w:szCs w:val="24"/>
        </w:rPr>
        <w:t>n</w:t>
      </w:r>
      <w:r w:rsidRPr="5141EA98">
        <w:rPr>
          <w:rFonts w:ascii="Arial" w:eastAsia="Arial" w:hAnsi="Arial" w:cs="Arial"/>
          <w:sz w:val="24"/>
          <w:szCs w:val="24"/>
        </w:rPr>
        <w:t xml:space="preserve"> estudios que evalúen la aceptación de</w:t>
      </w:r>
      <w:r>
        <w:rPr>
          <w:rFonts w:ascii="Arial" w:eastAsia="Arial" w:hAnsi="Arial" w:cs="Arial"/>
          <w:sz w:val="24"/>
          <w:szCs w:val="24"/>
        </w:rPr>
        <w:t>l régimen con</w:t>
      </w:r>
      <w:r w:rsidRPr="5141EA98">
        <w:rPr>
          <w:rFonts w:ascii="Arial" w:eastAsia="Arial" w:hAnsi="Arial" w:cs="Arial"/>
          <w:sz w:val="24"/>
          <w:szCs w:val="24"/>
        </w:rPr>
        <w:t xml:space="preserve"> </w:t>
      </w:r>
      <w:r w:rsidRPr="00A1785C">
        <w:rPr>
          <w:rFonts w:ascii="Arial" w:eastAsia="Arial" w:hAnsi="Arial" w:cs="Arial"/>
          <w:sz w:val="24"/>
          <w:szCs w:val="24"/>
        </w:rPr>
        <w:t>rifapentina/isoniazida.</w:t>
      </w:r>
      <w:r w:rsidRPr="5141EA98">
        <w:rPr>
          <w:rFonts w:ascii="Arial" w:eastAsia="Arial" w:hAnsi="Arial" w:cs="Arial"/>
          <w:sz w:val="24"/>
          <w:szCs w:val="24"/>
        </w:rPr>
        <w:t xml:space="preserve"> </w:t>
      </w:r>
    </w:p>
    <w:p w14:paraId="53B4F96D" w14:textId="77777777" w:rsidR="00803D17" w:rsidRDefault="00803D17" w:rsidP="00DC1AB9">
      <w:pPr>
        <w:spacing w:after="0" w:line="240" w:lineRule="auto"/>
        <w:ind w:firstLine="680"/>
        <w:jc w:val="both"/>
        <w:rPr>
          <w:rFonts w:ascii="Arial" w:eastAsia="Arial" w:hAnsi="Arial" w:cs="Arial"/>
          <w:sz w:val="24"/>
          <w:szCs w:val="24"/>
        </w:rPr>
      </w:pPr>
    </w:p>
    <w:p w14:paraId="60D1B48B" w14:textId="5748357F" w:rsidR="00803D17" w:rsidRDefault="00803D17" w:rsidP="00DC1AB9">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En cuanto a las personas con inmunodepresión secundaria sin infección por VIH, es necesario realizar estudios para determinar la eficacia</w:t>
      </w:r>
      <w:r>
        <w:rPr>
          <w:rFonts w:ascii="Arial" w:eastAsia="Arial" w:hAnsi="Arial" w:cs="Arial"/>
          <w:sz w:val="24"/>
          <w:szCs w:val="24"/>
        </w:rPr>
        <w:t>,</w:t>
      </w:r>
      <w:r w:rsidRPr="5141EA98">
        <w:rPr>
          <w:rFonts w:ascii="Arial" w:eastAsia="Arial" w:hAnsi="Arial" w:cs="Arial"/>
          <w:sz w:val="24"/>
          <w:szCs w:val="24"/>
        </w:rPr>
        <w:t xml:space="preserve"> seguridad</w:t>
      </w:r>
      <w:r>
        <w:rPr>
          <w:rFonts w:ascii="Arial" w:eastAsia="Arial" w:hAnsi="Arial" w:cs="Arial"/>
          <w:sz w:val="24"/>
          <w:szCs w:val="24"/>
        </w:rPr>
        <w:t xml:space="preserve"> y cumplimiento</w:t>
      </w:r>
      <w:r w:rsidRPr="5141EA98">
        <w:rPr>
          <w:rFonts w:ascii="Arial" w:eastAsia="Arial" w:hAnsi="Arial" w:cs="Arial"/>
          <w:sz w:val="24"/>
          <w:szCs w:val="24"/>
        </w:rPr>
        <w:t xml:space="preserve"> de la </w:t>
      </w:r>
      <w:r w:rsidRPr="00A1785C">
        <w:rPr>
          <w:rFonts w:ascii="Arial" w:eastAsia="Arial" w:hAnsi="Arial" w:cs="Arial"/>
          <w:sz w:val="24"/>
          <w:szCs w:val="24"/>
        </w:rPr>
        <w:t>rifapentina/isoniazida</w:t>
      </w:r>
      <w:r w:rsidRPr="5141EA98">
        <w:rPr>
          <w:rFonts w:ascii="Arial" w:eastAsia="Arial" w:hAnsi="Arial" w:cs="Arial"/>
          <w:sz w:val="24"/>
          <w:szCs w:val="24"/>
        </w:rPr>
        <w:t xml:space="preserve"> </w:t>
      </w:r>
      <w:r>
        <w:rPr>
          <w:rFonts w:ascii="Arial" w:eastAsia="Arial" w:hAnsi="Arial" w:cs="Arial"/>
          <w:sz w:val="24"/>
          <w:szCs w:val="24"/>
        </w:rPr>
        <w:t xml:space="preserve">comparada con isoniazida sola </w:t>
      </w:r>
      <w:r w:rsidRPr="5141EA98">
        <w:rPr>
          <w:rFonts w:ascii="Arial" w:eastAsia="Arial" w:hAnsi="Arial" w:cs="Arial"/>
          <w:sz w:val="24"/>
          <w:szCs w:val="24"/>
        </w:rPr>
        <w:t xml:space="preserve">para prevenir la TB activa, </w:t>
      </w:r>
      <w:r w:rsidRPr="00B656C4">
        <w:rPr>
          <w:rFonts w:ascii="Arial" w:eastAsia="Arial" w:hAnsi="Arial" w:cs="Arial"/>
          <w:sz w:val="24"/>
          <w:szCs w:val="24"/>
        </w:rPr>
        <w:t>considerando la enfermedad que causa la inmunodepresión, las comorbilidades y sus tratamientos, las características sociodemográficas y clínicas, el tipo de administración, así como otros aspectos relacionados con la adherencia para el cumplimiento del tratamiento.</w:t>
      </w:r>
      <w:r w:rsidRPr="5141EA98">
        <w:rPr>
          <w:rFonts w:ascii="Arial" w:eastAsia="Arial" w:hAnsi="Arial" w:cs="Arial"/>
          <w:sz w:val="24"/>
          <w:szCs w:val="24"/>
        </w:rPr>
        <w:t xml:space="preserve"> </w:t>
      </w:r>
    </w:p>
    <w:p w14:paraId="08393DF4" w14:textId="170A73F0" w:rsidR="00F80401" w:rsidRDefault="00F80401" w:rsidP="00DC1AB9">
      <w:pPr>
        <w:spacing w:after="0" w:line="240" w:lineRule="auto"/>
        <w:ind w:firstLine="680"/>
        <w:jc w:val="both"/>
        <w:rPr>
          <w:rFonts w:ascii="Arial" w:eastAsia="Arial" w:hAnsi="Arial" w:cs="Arial"/>
          <w:sz w:val="24"/>
          <w:szCs w:val="24"/>
        </w:rPr>
      </w:pPr>
    </w:p>
    <w:p w14:paraId="070E7DCE" w14:textId="66C5AEB5" w:rsidR="00F80401" w:rsidRDefault="00F80401" w:rsidP="00DC1AB9">
      <w:pPr>
        <w:spacing w:after="0" w:line="360" w:lineRule="auto"/>
        <w:ind w:firstLine="680"/>
        <w:jc w:val="both"/>
        <w:rPr>
          <w:rFonts w:ascii="Arial" w:eastAsia="Arial" w:hAnsi="Arial" w:cs="Arial"/>
          <w:sz w:val="24"/>
          <w:szCs w:val="24"/>
        </w:rPr>
      </w:pPr>
      <w:r w:rsidRPr="00B656C4">
        <w:rPr>
          <w:rFonts w:ascii="Arial" w:eastAsia="Arial" w:hAnsi="Arial" w:cs="Arial"/>
          <w:sz w:val="24"/>
          <w:szCs w:val="24"/>
        </w:rPr>
        <w:t>Ante el limitado número de estudios incluidos e insuficientes datos disponibles no se logró realizar</w:t>
      </w:r>
      <w:r w:rsidR="00484FDB" w:rsidRPr="00B656C4">
        <w:rPr>
          <w:rFonts w:ascii="Arial" w:eastAsia="Arial" w:hAnsi="Arial" w:cs="Arial"/>
          <w:sz w:val="24"/>
          <w:szCs w:val="24"/>
        </w:rPr>
        <w:t xml:space="preserve"> la prueba de Egger, el</w:t>
      </w:r>
      <w:r w:rsidRPr="00B656C4">
        <w:rPr>
          <w:rFonts w:ascii="Arial" w:eastAsia="Arial" w:hAnsi="Arial" w:cs="Arial"/>
          <w:sz w:val="24"/>
          <w:szCs w:val="24"/>
        </w:rPr>
        <w:t xml:space="preserve"> análisis por subgrupos</w:t>
      </w:r>
      <w:r w:rsidR="00484FDB" w:rsidRPr="00B656C4">
        <w:rPr>
          <w:rFonts w:ascii="Arial" w:eastAsia="Arial" w:hAnsi="Arial" w:cs="Arial"/>
          <w:sz w:val="24"/>
          <w:szCs w:val="24"/>
        </w:rPr>
        <w:t xml:space="preserve">, el análisis </w:t>
      </w:r>
      <w:r w:rsidRPr="00B656C4">
        <w:rPr>
          <w:rFonts w:ascii="Arial" w:eastAsia="Arial" w:hAnsi="Arial" w:cs="Arial"/>
          <w:sz w:val="24"/>
          <w:szCs w:val="24"/>
        </w:rPr>
        <w:t xml:space="preserve">de sensibilidad y </w:t>
      </w:r>
      <w:r w:rsidR="00484FDB" w:rsidRPr="00B656C4">
        <w:rPr>
          <w:rFonts w:ascii="Arial" w:eastAsia="Arial" w:hAnsi="Arial" w:cs="Arial"/>
          <w:sz w:val="24"/>
          <w:szCs w:val="24"/>
        </w:rPr>
        <w:t xml:space="preserve">la </w:t>
      </w:r>
      <w:r w:rsidRPr="00B656C4">
        <w:rPr>
          <w:rFonts w:ascii="Arial" w:eastAsia="Arial" w:hAnsi="Arial" w:cs="Arial"/>
          <w:sz w:val="24"/>
          <w:szCs w:val="24"/>
        </w:rPr>
        <w:t xml:space="preserve">metarregresión planeados, así mismo, la heterogeneidad compromete los hallazgos, por lo tanto, los resultados no pueden generalizarse. </w:t>
      </w:r>
      <w:r w:rsidR="009B7FD4" w:rsidRPr="00B656C4">
        <w:rPr>
          <w:rFonts w:ascii="Arial" w:eastAsia="Arial" w:hAnsi="Arial" w:cs="Arial"/>
          <w:sz w:val="24"/>
          <w:szCs w:val="24"/>
        </w:rPr>
        <w:t>Se sugiere</w:t>
      </w:r>
      <w:r w:rsidRPr="00B656C4">
        <w:rPr>
          <w:rFonts w:ascii="Arial" w:eastAsia="Arial" w:hAnsi="Arial" w:cs="Arial"/>
          <w:sz w:val="24"/>
          <w:szCs w:val="24"/>
        </w:rPr>
        <w:t xml:space="preserve"> emplear los resultados para establecer hipótesis y desarrollar nuevas investigaciones.</w:t>
      </w:r>
      <w:r w:rsidRPr="00F80401">
        <w:rPr>
          <w:rFonts w:ascii="Arial" w:eastAsia="Arial" w:hAnsi="Arial" w:cs="Arial"/>
          <w:sz w:val="24"/>
          <w:szCs w:val="24"/>
        </w:rPr>
        <w:t xml:space="preserve">   </w:t>
      </w:r>
    </w:p>
    <w:p w14:paraId="48CC45FF" w14:textId="77777777" w:rsidR="00DC1AB9" w:rsidRDefault="00DC1AB9" w:rsidP="00DC1AB9">
      <w:pPr>
        <w:spacing w:after="0" w:line="360" w:lineRule="auto"/>
        <w:ind w:firstLine="680"/>
        <w:jc w:val="both"/>
        <w:rPr>
          <w:rFonts w:ascii="Arial" w:eastAsia="Arial" w:hAnsi="Arial" w:cs="Arial"/>
          <w:sz w:val="24"/>
          <w:szCs w:val="24"/>
        </w:rPr>
      </w:pPr>
    </w:p>
    <w:p w14:paraId="6A06D8AD" w14:textId="1B881CF8" w:rsidR="0083325D" w:rsidRDefault="007E0305" w:rsidP="00450852">
      <w:pPr>
        <w:pStyle w:val="Ttulo1"/>
        <w:jc w:val="center"/>
      </w:pPr>
      <w:bookmarkStart w:id="30" w:name="_Toc85474289"/>
      <w:r w:rsidRPr="0083325D">
        <w:t>Conclusi</w:t>
      </w:r>
      <w:r w:rsidR="00E24416">
        <w:t>ones</w:t>
      </w:r>
      <w:bookmarkEnd w:id="30"/>
    </w:p>
    <w:p w14:paraId="498C223A" w14:textId="77777777" w:rsidR="00BA37E4" w:rsidRPr="00720DAE" w:rsidRDefault="00BA37E4" w:rsidP="00720DAE"/>
    <w:p w14:paraId="4B216898" w14:textId="39FDC330" w:rsidR="00187F76" w:rsidRPr="00187F76" w:rsidRDefault="00F92435" w:rsidP="00DC1AB9">
      <w:pPr>
        <w:spacing w:after="0" w:line="360" w:lineRule="auto"/>
        <w:ind w:firstLine="680"/>
        <w:jc w:val="both"/>
        <w:rPr>
          <w:rFonts w:ascii="Arial" w:eastAsia="Arial" w:hAnsi="Arial" w:cs="Arial"/>
          <w:b/>
          <w:bCs/>
          <w:color w:val="FF0000"/>
          <w:sz w:val="28"/>
          <w:szCs w:val="28"/>
        </w:rPr>
      </w:pPr>
      <w:r w:rsidRPr="00B656C4">
        <w:rPr>
          <w:rFonts w:ascii="Arial" w:hAnsi="Arial" w:cs="Arial"/>
          <w:color w:val="222222"/>
          <w:sz w:val="24"/>
          <w:szCs w:val="24"/>
          <w:shd w:val="clear" w:color="auto" w:fill="FFFFFF"/>
        </w:rPr>
        <w:t>La ef</w:t>
      </w:r>
      <w:r w:rsidR="001F7716" w:rsidRPr="00B656C4">
        <w:rPr>
          <w:rFonts w:ascii="Arial" w:hAnsi="Arial" w:cs="Arial"/>
          <w:color w:val="222222"/>
          <w:sz w:val="24"/>
          <w:szCs w:val="24"/>
          <w:shd w:val="clear" w:color="auto" w:fill="FFFFFF"/>
        </w:rPr>
        <w:t>icacia</w:t>
      </w:r>
      <w:r w:rsidRPr="00B656C4">
        <w:rPr>
          <w:rFonts w:ascii="Arial" w:hAnsi="Arial" w:cs="Arial"/>
          <w:color w:val="222222"/>
          <w:sz w:val="24"/>
          <w:szCs w:val="24"/>
          <w:shd w:val="clear" w:color="auto" w:fill="FFFFFF"/>
        </w:rPr>
        <w:t xml:space="preserve"> de la rifapentina/isoniazida</w:t>
      </w:r>
      <w:r w:rsidR="004F6FED" w:rsidRPr="00B656C4">
        <w:rPr>
          <w:rFonts w:ascii="Arial" w:hAnsi="Arial" w:cs="Arial"/>
          <w:color w:val="222222"/>
          <w:sz w:val="24"/>
          <w:szCs w:val="24"/>
          <w:shd w:val="clear" w:color="auto" w:fill="FFFFFF"/>
        </w:rPr>
        <w:t>,</w:t>
      </w:r>
      <w:r w:rsidRPr="00B656C4">
        <w:rPr>
          <w:rFonts w:ascii="Arial" w:hAnsi="Arial" w:cs="Arial"/>
          <w:color w:val="222222"/>
          <w:sz w:val="24"/>
          <w:szCs w:val="24"/>
          <w:shd w:val="clear" w:color="auto" w:fill="FFFFFF"/>
        </w:rPr>
        <w:t xml:space="preserve"> según esta investigación</w:t>
      </w:r>
      <w:r w:rsidR="004F6FED" w:rsidRPr="00B656C4">
        <w:rPr>
          <w:rFonts w:ascii="Arial" w:hAnsi="Arial" w:cs="Arial"/>
          <w:color w:val="222222"/>
          <w:sz w:val="24"/>
          <w:szCs w:val="24"/>
          <w:shd w:val="clear" w:color="auto" w:fill="FFFFFF"/>
        </w:rPr>
        <w:t>,</w:t>
      </w:r>
      <w:r w:rsidRPr="00B656C4">
        <w:rPr>
          <w:rFonts w:ascii="Arial" w:hAnsi="Arial" w:cs="Arial"/>
          <w:color w:val="222222"/>
          <w:sz w:val="24"/>
          <w:szCs w:val="24"/>
          <w:shd w:val="clear" w:color="auto" w:fill="FFFFFF"/>
        </w:rPr>
        <w:t xml:space="preserve"> parece </w:t>
      </w:r>
      <w:r w:rsidR="00C563E3" w:rsidRPr="00B656C4">
        <w:rPr>
          <w:rFonts w:ascii="Arial" w:hAnsi="Arial" w:cs="Arial"/>
          <w:color w:val="222222"/>
          <w:sz w:val="24"/>
          <w:szCs w:val="24"/>
          <w:shd w:val="clear" w:color="auto" w:fill="FFFFFF"/>
        </w:rPr>
        <w:t>similar a</w:t>
      </w:r>
      <w:r w:rsidRPr="00B656C4">
        <w:rPr>
          <w:rFonts w:ascii="Arial" w:hAnsi="Arial" w:cs="Arial"/>
          <w:color w:val="222222"/>
          <w:sz w:val="24"/>
          <w:szCs w:val="24"/>
          <w:shd w:val="clear" w:color="auto" w:fill="FFFFFF"/>
        </w:rPr>
        <w:t xml:space="preserve"> la</w:t>
      </w:r>
      <w:r w:rsidR="00C563E3" w:rsidRPr="00B656C4">
        <w:rPr>
          <w:rFonts w:ascii="Arial" w:hAnsi="Arial" w:cs="Arial"/>
          <w:color w:val="222222"/>
          <w:sz w:val="24"/>
          <w:szCs w:val="24"/>
          <w:shd w:val="clear" w:color="auto" w:fill="FFFFFF"/>
        </w:rPr>
        <w:t xml:space="preserve"> eficacia de la</w:t>
      </w:r>
      <w:r w:rsidRPr="00B656C4">
        <w:rPr>
          <w:rFonts w:ascii="Arial" w:hAnsi="Arial" w:cs="Arial"/>
          <w:color w:val="222222"/>
          <w:sz w:val="24"/>
          <w:szCs w:val="24"/>
          <w:shd w:val="clear" w:color="auto" w:fill="FFFFFF"/>
        </w:rPr>
        <w:t xml:space="preserve"> isoniazida sola,</w:t>
      </w:r>
      <w:r w:rsidR="001F7716" w:rsidRPr="00B656C4">
        <w:rPr>
          <w:rFonts w:ascii="Arial" w:hAnsi="Arial" w:cs="Arial"/>
          <w:color w:val="222222"/>
          <w:sz w:val="24"/>
          <w:szCs w:val="24"/>
          <w:shd w:val="clear" w:color="auto" w:fill="FFFFFF"/>
        </w:rPr>
        <w:t xml:space="preserve"> la hepatotoxicidad parece ser menor con la combinación rifapentina/isoniazida, en cuanto al cumplimiento de ambas alternativas no hubo diferencias, </w:t>
      </w:r>
      <w:r w:rsidRPr="00B656C4">
        <w:rPr>
          <w:rFonts w:ascii="Arial" w:hAnsi="Arial" w:cs="Arial"/>
          <w:color w:val="222222"/>
          <w:sz w:val="24"/>
          <w:szCs w:val="24"/>
          <w:shd w:val="clear" w:color="auto" w:fill="FFFFFF"/>
        </w:rPr>
        <w:t>sin embargo, hay pocos estudios aleatorizados y los datos fueron insuficientes</w:t>
      </w:r>
      <w:r w:rsidR="00600B57" w:rsidRPr="00B656C4">
        <w:rPr>
          <w:rFonts w:ascii="Arial" w:hAnsi="Arial" w:cs="Arial"/>
          <w:color w:val="222222"/>
          <w:sz w:val="24"/>
          <w:szCs w:val="24"/>
          <w:shd w:val="clear" w:color="auto" w:fill="FFFFFF"/>
        </w:rPr>
        <w:t>. N</w:t>
      </w:r>
      <w:r w:rsidRPr="00B656C4">
        <w:rPr>
          <w:rFonts w:ascii="Arial" w:hAnsi="Arial" w:cs="Arial"/>
          <w:color w:val="222222"/>
          <w:sz w:val="24"/>
          <w:szCs w:val="24"/>
          <w:shd w:val="clear" w:color="auto" w:fill="FFFFFF"/>
        </w:rPr>
        <w:t xml:space="preserve">o se logró realizar </w:t>
      </w:r>
      <w:r w:rsidR="009B537B" w:rsidRPr="00B656C4">
        <w:rPr>
          <w:rFonts w:ascii="Arial" w:hAnsi="Arial" w:cs="Arial"/>
          <w:color w:val="222222"/>
          <w:sz w:val="24"/>
          <w:szCs w:val="24"/>
          <w:shd w:val="clear" w:color="auto" w:fill="FFFFFF"/>
        </w:rPr>
        <w:t>algunos</w:t>
      </w:r>
      <w:r w:rsidRPr="00B656C4">
        <w:rPr>
          <w:rFonts w:ascii="Arial" w:hAnsi="Arial" w:cs="Arial"/>
          <w:color w:val="222222"/>
          <w:sz w:val="24"/>
          <w:szCs w:val="24"/>
          <w:shd w:val="clear" w:color="auto" w:fill="FFFFFF"/>
        </w:rPr>
        <w:t xml:space="preserve"> análisis </w:t>
      </w:r>
      <w:r w:rsidR="009B537B" w:rsidRPr="00B656C4">
        <w:rPr>
          <w:rFonts w:ascii="Arial" w:hAnsi="Arial" w:cs="Arial"/>
          <w:color w:val="222222"/>
          <w:sz w:val="24"/>
          <w:szCs w:val="24"/>
          <w:shd w:val="clear" w:color="auto" w:fill="FFFFFF"/>
        </w:rPr>
        <w:t xml:space="preserve">adicionales </w:t>
      </w:r>
      <w:r w:rsidR="000A00EC" w:rsidRPr="00B656C4">
        <w:rPr>
          <w:rFonts w:ascii="Arial" w:hAnsi="Arial" w:cs="Arial"/>
          <w:color w:val="222222"/>
          <w:sz w:val="24"/>
          <w:szCs w:val="24"/>
          <w:shd w:val="clear" w:color="auto" w:fill="FFFFFF"/>
        </w:rPr>
        <w:t>planeados, por</w:t>
      </w:r>
      <w:r w:rsidRPr="00B656C4">
        <w:rPr>
          <w:rFonts w:ascii="Arial" w:hAnsi="Arial" w:cs="Arial"/>
          <w:color w:val="222222"/>
          <w:sz w:val="24"/>
          <w:szCs w:val="24"/>
          <w:shd w:val="clear" w:color="auto" w:fill="FFFFFF"/>
        </w:rPr>
        <w:t xml:space="preserve"> lo tanto</w:t>
      </w:r>
      <w:r w:rsidR="004F6FED" w:rsidRPr="00B656C4">
        <w:rPr>
          <w:rFonts w:ascii="Arial" w:hAnsi="Arial" w:cs="Arial"/>
          <w:color w:val="222222"/>
          <w:sz w:val="24"/>
          <w:szCs w:val="24"/>
          <w:shd w:val="clear" w:color="auto" w:fill="FFFFFF"/>
        </w:rPr>
        <w:t>,</w:t>
      </w:r>
      <w:r w:rsidRPr="00B656C4">
        <w:rPr>
          <w:rFonts w:ascii="Arial" w:hAnsi="Arial" w:cs="Arial"/>
          <w:color w:val="222222"/>
          <w:sz w:val="24"/>
          <w:szCs w:val="24"/>
          <w:shd w:val="clear" w:color="auto" w:fill="FFFFFF"/>
        </w:rPr>
        <w:t xml:space="preserve"> los resultados</w:t>
      </w:r>
      <w:r w:rsidR="001F7716" w:rsidRPr="00B656C4">
        <w:rPr>
          <w:rFonts w:ascii="Arial" w:hAnsi="Arial" w:cs="Arial"/>
          <w:color w:val="222222"/>
          <w:sz w:val="24"/>
          <w:szCs w:val="24"/>
          <w:shd w:val="clear" w:color="auto" w:fill="FFFFFF"/>
        </w:rPr>
        <w:t xml:space="preserve"> no </w:t>
      </w:r>
      <w:r w:rsidR="009B537B" w:rsidRPr="00B656C4">
        <w:rPr>
          <w:rFonts w:ascii="Arial" w:hAnsi="Arial" w:cs="Arial"/>
          <w:color w:val="222222"/>
          <w:sz w:val="24"/>
          <w:szCs w:val="24"/>
          <w:shd w:val="clear" w:color="auto" w:fill="FFFFFF"/>
        </w:rPr>
        <w:t xml:space="preserve">pueden </w:t>
      </w:r>
      <w:r w:rsidRPr="00B656C4">
        <w:rPr>
          <w:rFonts w:ascii="Arial" w:hAnsi="Arial" w:cs="Arial"/>
          <w:color w:val="222222"/>
          <w:sz w:val="24"/>
          <w:szCs w:val="24"/>
          <w:shd w:val="clear" w:color="auto" w:fill="FFFFFF"/>
        </w:rPr>
        <w:t>generalizarse</w:t>
      </w:r>
      <w:r w:rsidR="004F6FED" w:rsidRPr="00B656C4">
        <w:rPr>
          <w:rFonts w:ascii="Arial" w:hAnsi="Arial" w:cs="Arial"/>
          <w:color w:val="222222"/>
          <w:sz w:val="24"/>
          <w:szCs w:val="24"/>
          <w:shd w:val="clear" w:color="auto" w:fill="FFFFFF"/>
        </w:rPr>
        <w:t>.</w:t>
      </w:r>
      <w:r w:rsidRPr="00B656C4">
        <w:rPr>
          <w:rFonts w:ascii="Arial" w:hAnsi="Arial" w:cs="Arial"/>
          <w:color w:val="222222"/>
          <w:sz w:val="24"/>
          <w:szCs w:val="24"/>
          <w:shd w:val="clear" w:color="auto" w:fill="FFFFFF"/>
        </w:rPr>
        <w:t xml:space="preserve"> </w:t>
      </w:r>
      <w:r w:rsidR="004F6FED" w:rsidRPr="00B656C4">
        <w:rPr>
          <w:rFonts w:ascii="Arial" w:hAnsi="Arial" w:cs="Arial"/>
          <w:color w:val="222222"/>
          <w:sz w:val="24"/>
          <w:szCs w:val="24"/>
          <w:shd w:val="clear" w:color="auto" w:fill="FFFFFF"/>
        </w:rPr>
        <w:t>S</w:t>
      </w:r>
      <w:r w:rsidR="001F7716" w:rsidRPr="00B656C4">
        <w:rPr>
          <w:rFonts w:ascii="Arial" w:hAnsi="Arial" w:cs="Arial"/>
          <w:color w:val="222222"/>
          <w:sz w:val="24"/>
          <w:szCs w:val="24"/>
          <w:shd w:val="clear" w:color="auto" w:fill="FFFFFF"/>
        </w:rPr>
        <w:t xml:space="preserve">ugerimos emplear los resultados para </w:t>
      </w:r>
      <w:r w:rsidR="001F7716" w:rsidRPr="00B656C4">
        <w:rPr>
          <w:rFonts w:ascii="Arial" w:hAnsi="Arial" w:cs="Arial"/>
          <w:color w:val="222222"/>
          <w:sz w:val="24"/>
          <w:szCs w:val="24"/>
          <w:shd w:val="clear" w:color="auto" w:fill="FFFFFF"/>
        </w:rPr>
        <w:lastRenderedPageBreak/>
        <w:t>establecer hipótesis y desarrollar nuevas investigaciones.</w:t>
      </w:r>
      <w:r w:rsidR="001F7716" w:rsidRPr="001F7716">
        <w:rPr>
          <w:rFonts w:ascii="Arial" w:hAnsi="Arial" w:cs="Arial"/>
          <w:color w:val="222222"/>
          <w:sz w:val="24"/>
          <w:szCs w:val="24"/>
          <w:shd w:val="clear" w:color="auto" w:fill="FFFFFF"/>
        </w:rPr>
        <w:t xml:space="preserve"> </w:t>
      </w:r>
      <w:r w:rsidR="001F7716">
        <w:rPr>
          <w:rFonts w:ascii="Arial" w:hAnsi="Arial" w:cs="Arial"/>
          <w:color w:val="222222"/>
          <w:sz w:val="24"/>
          <w:szCs w:val="24"/>
          <w:shd w:val="clear" w:color="auto" w:fill="FFFFFF"/>
        </w:rPr>
        <w:t xml:space="preserve">  Ante</w:t>
      </w:r>
      <w:r w:rsidR="0083325D" w:rsidRPr="0083325D">
        <w:rPr>
          <w:rFonts w:ascii="Arial" w:hAnsi="Arial" w:cs="Arial"/>
          <w:color w:val="222222"/>
          <w:sz w:val="24"/>
          <w:szCs w:val="24"/>
          <w:shd w:val="clear" w:color="auto" w:fill="FFFFFF"/>
        </w:rPr>
        <w:t xml:space="preserve"> el número limitado de estudios y </w:t>
      </w:r>
      <w:r w:rsidR="0083325D">
        <w:rPr>
          <w:rFonts w:ascii="Arial" w:hAnsi="Arial" w:cs="Arial"/>
          <w:color w:val="222222"/>
          <w:sz w:val="24"/>
          <w:szCs w:val="24"/>
          <w:shd w:val="clear" w:color="auto" w:fill="FFFFFF"/>
        </w:rPr>
        <w:t>la</w:t>
      </w:r>
      <w:r w:rsidR="0083325D" w:rsidRPr="0083325D">
        <w:rPr>
          <w:rFonts w:ascii="Arial" w:hAnsi="Arial" w:cs="Arial"/>
          <w:color w:val="222222"/>
          <w:sz w:val="24"/>
          <w:szCs w:val="24"/>
          <w:shd w:val="clear" w:color="auto" w:fill="FFFFFF"/>
        </w:rPr>
        <w:t xml:space="preserve"> baj</w:t>
      </w:r>
      <w:r w:rsidR="0083325D">
        <w:rPr>
          <w:rFonts w:ascii="Arial" w:hAnsi="Arial" w:cs="Arial"/>
          <w:color w:val="222222"/>
          <w:sz w:val="24"/>
          <w:szCs w:val="24"/>
          <w:shd w:val="clear" w:color="auto" w:fill="FFFFFF"/>
        </w:rPr>
        <w:t>a</w:t>
      </w:r>
      <w:r w:rsidR="0083325D" w:rsidRPr="0083325D">
        <w:rPr>
          <w:rFonts w:ascii="Arial" w:hAnsi="Arial" w:cs="Arial"/>
          <w:color w:val="222222"/>
          <w:sz w:val="24"/>
          <w:szCs w:val="24"/>
          <w:shd w:val="clear" w:color="auto" w:fill="FFFFFF"/>
        </w:rPr>
        <w:t xml:space="preserve"> calidad de evidencia que existe sobre la ef</w:t>
      </w:r>
      <w:r w:rsidR="004350CB">
        <w:rPr>
          <w:rFonts w:ascii="Arial" w:hAnsi="Arial" w:cs="Arial"/>
          <w:color w:val="222222"/>
          <w:sz w:val="24"/>
          <w:szCs w:val="24"/>
          <w:shd w:val="clear" w:color="auto" w:fill="FFFFFF"/>
        </w:rPr>
        <w:t>icacia</w:t>
      </w:r>
      <w:r w:rsidR="0083325D">
        <w:rPr>
          <w:rFonts w:ascii="Arial" w:hAnsi="Arial" w:cs="Arial"/>
          <w:color w:val="222222"/>
          <w:sz w:val="24"/>
          <w:szCs w:val="24"/>
          <w:shd w:val="clear" w:color="auto" w:fill="FFFFFF"/>
        </w:rPr>
        <w:t>, seguridad y cumplimiento</w:t>
      </w:r>
      <w:r w:rsidR="0083325D" w:rsidRPr="0083325D">
        <w:rPr>
          <w:rFonts w:ascii="Arial" w:hAnsi="Arial" w:cs="Arial"/>
          <w:color w:val="222222"/>
          <w:sz w:val="24"/>
          <w:szCs w:val="24"/>
          <w:shd w:val="clear" w:color="auto" w:fill="FFFFFF"/>
        </w:rPr>
        <w:t xml:space="preserve"> de </w:t>
      </w:r>
      <w:r w:rsidR="0083325D">
        <w:rPr>
          <w:rFonts w:ascii="Arial" w:hAnsi="Arial" w:cs="Arial"/>
          <w:color w:val="222222"/>
          <w:sz w:val="24"/>
          <w:szCs w:val="24"/>
          <w:shd w:val="clear" w:color="auto" w:fill="FFFFFF"/>
        </w:rPr>
        <w:t>la r</w:t>
      </w:r>
      <w:r w:rsidR="0083325D" w:rsidRPr="0083325D">
        <w:rPr>
          <w:rFonts w:ascii="Arial" w:hAnsi="Arial" w:cs="Arial"/>
          <w:color w:val="222222"/>
          <w:sz w:val="24"/>
          <w:szCs w:val="24"/>
          <w:shd w:val="clear" w:color="auto" w:fill="FFFFFF"/>
        </w:rPr>
        <w:t>ifapentina/</w:t>
      </w:r>
      <w:r w:rsidR="00BB7FD6">
        <w:rPr>
          <w:rFonts w:ascii="Arial" w:hAnsi="Arial" w:cs="Arial"/>
          <w:color w:val="222222"/>
          <w:sz w:val="24"/>
          <w:szCs w:val="24"/>
          <w:shd w:val="clear" w:color="auto" w:fill="FFFFFF"/>
        </w:rPr>
        <w:t>i</w:t>
      </w:r>
      <w:r w:rsidR="0083325D" w:rsidRPr="0083325D">
        <w:rPr>
          <w:rFonts w:ascii="Arial" w:hAnsi="Arial" w:cs="Arial"/>
          <w:color w:val="222222"/>
          <w:sz w:val="24"/>
          <w:szCs w:val="24"/>
          <w:shd w:val="clear" w:color="auto" w:fill="FFFFFF"/>
        </w:rPr>
        <w:t>soniazida para prevenir TB activa en personas con inmunodepresión secundaria</w:t>
      </w:r>
      <w:r w:rsidR="0083325D">
        <w:rPr>
          <w:rFonts w:ascii="Arial" w:hAnsi="Arial" w:cs="Arial"/>
          <w:color w:val="222222"/>
          <w:sz w:val="24"/>
          <w:szCs w:val="24"/>
          <w:shd w:val="clear" w:color="auto" w:fill="FFFFFF"/>
        </w:rPr>
        <w:t xml:space="preserve"> e ILTB</w:t>
      </w:r>
      <w:r w:rsidR="0083325D" w:rsidRPr="0083325D">
        <w:rPr>
          <w:rFonts w:ascii="Arial" w:hAnsi="Arial" w:cs="Arial"/>
          <w:color w:val="222222"/>
          <w:sz w:val="24"/>
          <w:szCs w:val="24"/>
          <w:shd w:val="clear" w:color="auto" w:fill="FFFFFF"/>
        </w:rPr>
        <w:t>, se recomienda realizar más estudios dirigidos a este grupo</w:t>
      </w:r>
      <w:r w:rsidR="0083325D">
        <w:rPr>
          <w:rFonts w:ascii="Arial" w:hAnsi="Arial" w:cs="Arial"/>
          <w:color w:val="222222"/>
          <w:sz w:val="24"/>
          <w:szCs w:val="24"/>
          <w:shd w:val="clear" w:color="auto" w:fill="FFFFFF"/>
        </w:rPr>
        <w:t xml:space="preserve"> vulnerable considerando y controlando las variables de confusión e interacción</w:t>
      </w:r>
      <w:r w:rsidR="0083325D" w:rsidRPr="00B656C4">
        <w:rPr>
          <w:rFonts w:ascii="Arial" w:hAnsi="Arial" w:cs="Arial"/>
          <w:color w:val="222222"/>
          <w:sz w:val="24"/>
          <w:szCs w:val="24"/>
          <w:shd w:val="clear" w:color="auto" w:fill="FFFFFF"/>
        </w:rPr>
        <w:t>.</w:t>
      </w:r>
      <w:r w:rsidR="00187F76" w:rsidRPr="00B656C4">
        <w:rPr>
          <w:rFonts w:ascii="Arial" w:hAnsi="Arial" w:cs="Arial"/>
          <w:color w:val="222222"/>
          <w:sz w:val="24"/>
          <w:szCs w:val="24"/>
          <w:shd w:val="clear" w:color="auto" w:fill="FFFFFF"/>
        </w:rPr>
        <w:t xml:space="preserve"> </w:t>
      </w:r>
      <w:r w:rsidR="007D24C8" w:rsidRPr="00B656C4">
        <w:rPr>
          <w:rFonts w:ascii="Arial" w:hAnsi="Arial" w:cs="Arial"/>
          <w:color w:val="222222"/>
          <w:sz w:val="24"/>
          <w:szCs w:val="24"/>
          <w:shd w:val="clear" w:color="auto" w:fill="FFFFFF"/>
        </w:rPr>
        <w:t xml:space="preserve">Tras esta revisión sistemática tampoco se </w:t>
      </w:r>
      <w:r w:rsidR="00491EF0" w:rsidRPr="00B656C4">
        <w:rPr>
          <w:rFonts w:ascii="Arial" w:hAnsi="Arial" w:cs="Arial"/>
          <w:color w:val="222222"/>
          <w:sz w:val="24"/>
          <w:szCs w:val="24"/>
          <w:shd w:val="clear" w:color="auto" w:fill="FFFFFF"/>
        </w:rPr>
        <w:t xml:space="preserve">identificaron </w:t>
      </w:r>
      <w:r w:rsidR="007D24C8" w:rsidRPr="00B656C4">
        <w:rPr>
          <w:rFonts w:ascii="Arial" w:hAnsi="Arial" w:cs="Arial"/>
          <w:color w:val="222222"/>
          <w:sz w:val="24"/>
          <w:szCs w:val="24"/>
          <w:shd w:val="clear" w:color="auto" w:fill="FFFFFF"/>
        </w:rPr>
        <w:t>estudios que evaluaran la efectividad de la intervención en entornos reales los cuales son relevantes para la investigación de la implementación.</w:t>
      </w:r>
    </w:p>
    <w:p w14:paraId="177F513B" w14:textId="09AC9F7F" w:rsidR="5141EA98" w:rsidRPr="00F96791" w:rsidRDefault="5141EA98" w:rsidP="5141EA98">
      <w:pPr>
        <w:spacing w:after="0" w:line="360" w:lineRule="auto"/>
        <w:jc w:val="both"/>
        <w:rPr>
          <w:rFonts w:ascii="Arial" w:eastAsia="Arial" w:hAnsi="Arial" w:cs="Arial"/>
          <w:sz w:val="24"/>
          <w:szCs w:val="24"/>
        </w:rPr>
      </w:pPr>
    </w:p>
    <w:p w14:paraId="3E6F8821" w14:textId="28F6862C" w:rsidR="009560FE" w:rsidRPr="00F96791" w:rsidRDefault="009560FE" w:rsidP="00450852">
      <w:pPr>
        <w:pStyle w:val="Ttulo1"/>
        <w:jc w:val="center"/>
        <w:rPr>
          <w:color w:val="auto"/>
        </w:rPr>
      </w:pPr>
      <w:bookmarkStart w:id="31" w:name="_Toc85474290"/>
      <w:r w:rsidRPr="000A00EC">
        <w:rPr>
          <w:color w:val="auto"/>
        </w:rPr>
        <w:t>Enmiendas del protocolo</w:t>
      </w:r>
      <w:bookmarkEnd w:id="31"/>
    </w:p>
    <w:p w14:paraId="14860873" w14:textId="77777777" w:rsidR="00F96791" w:rsidRPr="00F96791" w:rsidRDefault="00F96791" w:rsidP="00F96791"/>
    <w:p w14:paraId="48EC0A97" w14:textId="20FBD8E3" w:rsidR="00563D2B" w:rsidRPr="00B656C4" w:rsidRDefault="009560FE" w:rsidP="00E21981">
      <w:pPr>
        <w:spacing w:after="0" w:line="360" w:lineRule="auto"/>
        <w:ind w:firstLine="680"/>
        <w:jc w:val="both"/>
        <w:rPr>
          <w:rFonts w:ascii="Arial" w:eastAsia="Arial" w:hAnsi="Arial" w:cs="Arial"/>
          <w:sz w:val="24"/>
          <w:szCs w:val="24"/>
        </w:rPr>
      </w:pPr>
      <w:r w:rsidRPr="00B656C4">
        <w:rPr>
          <w:rFonts w:ascii="Arial" w:eastAsia="Arial" w:hAnsi="Arial" w:cs="Arial"/>
          <w:sz w:val="24"/>
          <w:szCs w:val="24"/>
        </w:rPr>
        <w:t>Se incluyeron dos estudios</w:t>
      </w:r>
      <w:r w:rsidR="00C9372A" w:rsidRPr="00B656C4">
        <w:rPr>
          <w:rFonts w:ascii="Arial" w:eastAsia="Arial" w:hAnsi="Arial" w:cs="Arial"/>
          <w:sz w:val="24"/>
          <w:szCs w:val="24"/>
        </w:rPr>
        <w:t xml:space="preserve"> aleatorizados</w:t>
      </w:r>
      <w:r w:rsidRPr="00B656C4">
        <w:rPr>
          <w:rFonts w:ascii="Arial" w:eastAsia="Arial" w:hAnsi="Arial" w:cs="Arial"/>
          <w:sz w:val="24"/>
          <w:szCs w:val="24"/>
        </w:rPr>
        <w:t xml:space="preserve"> con duraci</w:t>
      </w:r>
      <w:r w:rsidR="00F96791" w:rsidRPr="00B656C4">
        <w:rPr>
          <w:rFonts w:ascii="Arial" w:eastAsia="Arial" w:hAnsi="Arial" w:cs="Arial"/>
          <w:sz w:val="24"/>
          <w:szCs w:val="24"/>
        </w:rPr>
        <w:t>ón de la intervención y comparador diferente al estipulado en el protocolo.</w:t>
      </w:r>
      <w:r w:rsidRPr="00B656C4">
        <w:rPr>
          <w:rFonts w:ascii="Arial" w:eastAsia="Arial" w:hAnsi="Arial" w:cs="Arial"/>
          <w:sz w:val="24"/>
          <w:szCs w:val="24"/>
        </w:rPr>
        <w:t xml:space="preserve"> </w:t>
      </w:r>
      <w:r w:rsidR="00F96791" w:rsidRPr="00B656C4">
        <w:rPr>
          <w:rFonts w:ascii="Arial" w:eastAsia="Arial" w:hAnsi="Arial" w:cs="Arial"/>
          <w:sz w:val="24"/>
          <w:szCs w:val="24"/>
        </w:rPr>
        <w:t>El</w:t>
      </w:r>
      <w:r w:rsidRPr="00B656C4">
        <w:rPr>
          <w:rFonts w:ascii="Arial" w:eastAsia="Arial" w:hAnsi="Arial" w:cs="Arial"/>
          <w:sz w:val="24"/>
          <w:szCs w:val="24"/>
        </w:rPr>
        <w:t xml:space="preserve"> estudio (1</w:t>
      </w:r>
      <w:r w:rsidR="00EB4A44" w:rsidRPr="00B656C4">
        <w:rPr>
          <w:rFonts w:ascii="Arial" w:eastAsia="Arial" w:hAnsi="Arial" w:cs="Arial"/>
          <w:sz w:val="24"/>
          <w:szCs w:val="24"/>
        </w:rPr>
        <w:t>0</w:t>
      </w:r>
      <w:r w:rsidRPr="00B656C4">
        <w:rPr>
          <w:rFonts w:ascii="Arial" w:eastAsia="Arial" w:hAnsi="Arial" w:cs="Arial"/>
          <w:sz w:val="24"/>
          <w:szCs w:val="24"/>
        </w:rPr>
        <w:t xml:space="preserve">) con la intervención rifapentina/isoniazida por </w:t>
      </w:r>
      <w:r w:rsidR="00CE0CC7" w:rsidRPr="00B656C4">
        <w:rPr>
          <w:rFonts w:ascii="Arial" w:eastAsia="Arial" w:hAnsi="Arial" w:cs="Arial"/>
          <w:sz w:val="24"/>
          <w:szCs w:val="24"/>
        </w:rPr>
        <w:t>1</w:t>
      </w:r>
      <w:r w:rsidR="004F6FED" w:rsidRPr="00B656C4">
        <w:rPr>
          <w:rFonts w:ascii="Arial" w:eastAsia="Arial" w:hAnsi="Arial" w:cs="Arial"/>
          <w:sz w:val="24"/>
          <w:szCs w:val="24"/>
        </w:rPr>
        <w:t xml:space="preserve"> </w:t>
      </w:r>
      <w:r w:rsidRPr="00B656C4">
        <w:rPr>
          <w:rFonts w:ascii="Arial" w:eastAsia="Arial" w:hAnsi="Arial" w:cs="Arial"/>
          <w:sz w:val="24"/>
          <w:szCs w:val="24"/>
        </w:rPr>
        <w:t xml:space="preserve">mes, en vista de que la eficacia fue similar a la rifapentina/isoniazida por </w:t>
      </w:r>
      <w:r w:rsidR="00CE0CC7" w:rsidRPr="00B656C4">
        <w:rPr>
          <w:rFonts w:ascii="Arial" w:eastAsia="Arial" w:hAnsi="Arial" w:cs="Arial"/>
          <w:sz w:val="24"/>
          <w:szCs w:val="24"/>
        </w:rPr>
        <w:t>3</w:t>
      </w:r>
      <w:r w:rsidRPr="00B656C4">
        <w:rPr>
          <w:rFonts w:ascii="Arial" w:eastAsia="Arial" w:hAnsi="Arial" w:cs="Arial"/>
          <w:sz w:val="24"/>
          <w:szCs w:val="24"/>
        </w:rPr>
        <w:t xml:space="preserve"> meses en estudios previos (29). Asimismo, se decidió incluir el estudio (18) con el comparador isoniazida sola por </w:t>
      </w:r>
      <w:r w:rsidR="00CE0CC7" w:rsidRPr="00B656C4">
        <w:rPr>
          <w:rFonts w:ascii="Arial" w:eastAsia="Arial" w:hAnsi="Arial" w:cs="Arial"/>
          <w:sz w:val="24"/>
          <w:szCs w:val="24"/>
        </w:rPr>
        <w:t xml:space="preserve">6 </w:t>
      </w:r>
      <w:r w:rsidRPr="00B656C4">
        <w:rPr>
          <w:rFonts w:ascii="Arial" w:eastAsia="Arial" w:hAnsi="Arial" w:cs="Arial"/>
          <w:sz w:val="24"/>
          <w:szCs w:val="24"/>
        </w:rPr>
        <w:t xml:space="preserve">meses ante la evidencia de eficacia similar con la isoniazida sola por </w:t>
      </w:r>
      <w:r w:rsidR="00CE0CC7" w:rsidRPr="00B656C4">
        <w:rPr>
          <w:rFonts w:ascii="Arial" w:eastAsia="Arial" w:hAnsi="Arial" w:cs="Arial"/>
          <w:sz w:val="24"/>
          <w:szCs w:val="24"/>
        </w:rPr>
        <w:t xml:space="preserve">9 </w:t>
      </w:r>
      <w:r w:rsidRPr="00B656C4">
        <w:rPr>
          <w:rFonts w:ascii="Arial" w:eastAsia="Arial" w:hAnsi="Arial" w:cs="Arial"/>
          <w:sz w:val="24"/>
          <w:szCs w:val="24"/>
        </w:rPr>
        <w:t xml:space="preserve">meses (30). </w:t>
      </w:r>
      <w:r w:rsidR="00F96791" w:rsidRPr="00B656C4">
        <w:rPr>
          <w:rFonts w:ascii="Arial" w:eastAsia="Arial" w:hAnsi="Arial" w:cs="Arial"/>
          <w:sz w:val="24"/>
          <w:szCs w:val="24"/>
        </w:rPr>
        <w:t>Otra razón para</w:t>
      </w:r>
      <w:r w:rsidR="00A157C4" w:rsidRPr="00B656C4">
        <w:rPr>
          <w:rFonts w:ascii="Arial" w:eastAsia="Arial" w:hAnsi="Arial" w:cs="Arial"/>
          <w:sz w:val="24"/>
          <w:szCs w:val="24"/>
        </w:rPr>
        <w:t xml:space="preserve"> la</w:t>
      </w:r>
      <w:r w:rsidR="00F96791" w:rsidRPr="00B656C4">
        <w:rPr>
          <w:rFonts w:ascii="Arial" w:eastAsia="Arial" w:hAnsi="Arial" w:cs="Arial"/>
          <w:sz w:val="24"/>
          <w:szCs w:val="24"/>
        </w:rPr>
        <w:t xml:space="preserve"> inclusión de estos estudios es que u</w:t>
      </w:r>
      <w:r w:rsidRPr="00B656C4">
        <w:rPr>
          <w:rFonts w:ascii="Arial" w:eastAsia="Arial" w:hAnsi="Arial" w:cs="Arial"/>
          <w:sz w:val="24"/>
          <w:szCs w:val="24"/>
        </w:rPr>
        <w:t xml:space="preserve">no de los pilares de la estrategia para eliminar la TB planteado por la OMS es </w:t>
      </w:r>
      <w:r w:rsidR="00F96791" w:rsidRPr="00B656C4">
        <w:rPr>
          <w:rFonts w:ascii="Arial" w:eastAsia="Arial" w:hAnsi="Arial" w:cs="Arial"/>
          <w:sz w:val="24"/>
          <w:szCs w:val="24"/>
        </w:rPr>
        <w:t>la investigación para el diseño de</w:t>
      </w:r>
      <w:r w:rsidRPr="00B656C4">
        <w:rPr>
          <w:rFonts w:ascii="Arial" w:eastAsia="Arial" w:hAnsi="Arial" w:cs="Arial"/>
          <w:sz w:val="24"/>
          <w:szCs w:val="24"/>
        </w:rPr>
        <w:t xml:space="preserve"> regímenes terapéuticos y profilácticos con menos duración, ya que mejoran la adherencia al tratamiento y con ello aumentan la eficacia, entre otros beneficios</w:t>
      </w:r>
      <w:r w:rsidR="00F96791" w:rsidRPr="00B656C4">
        <w:rPr>
          <w:rFonts w:ascii="Arial" w:eastAsia="Arial" w:hAnsi="Arial" w:cs="Arial"/>
          <w:sz w:val="24"/>
          <w:szCs w:val="24"/>
        </w:rPr>
        <w:t xml:space="preserve"> (33).</w:t>
      </w:r>
      <w:r w:rsidR="00563D2B" w:rsidRPr="00B656C4">
        <w:rPr>
          <w:rFonts w:ascii="Arial" w:eastAsia="Arial" w:hAnsi="Arial" w:cs="Arial"/>
          <w:sz w:val="24"/>
          <w:szCs w:val="24"/>
        </w:rPr>
        <w:t xml:space="preserve"> Por esto, se realizó análisis post hoc según la duración de la intervención. </w:t>
      </w:r>
    </w:p>
    <w:p w14:paraId="35A8ECAA" w14:textId="77777777" w:rsidR="00563D2B" w:rsidRPr="00B656C4" w:rsidRDefault="00563D2B" w:rsidP="00E21981">
      <w:pPr>
        <w:spacing w:after="0" w:line="240" w:lineRule="auto"/>
        <w:jc w:val="both"/>
        <w:rPr>
          <w:rFonts w:ascii="Arial" w:eastAsia="Arial" w:hAnsi="Arial" w:cs="Arial"/>
          <w:sz w:val="24"/>
          <w:szCs w:val="24"/>
        </w:rPr>
      </w:pPr>
    </w:p>
    <w:p w14:paraId="431E7EED" w14:textId="2419C652" w:rsidR="009560FE" w:rsidRPr="00F96791" w:rsidRDefault="00563D2B" w:rsidP="00E21981">
      <w:pPr>
        <w:spacing w:after="0" w:line="360" w:lineRule="auto"/>
        <w:ind w:firstLine="680"/>
        <w:jc w:val="both"/>
        <w:rPr>
          <w:rFonts w:ascii="Arial" w:eastAsia="Arial" w:hAnsi="Arial" w:cs="Arial"/>
          <w:sz w:val="24"/>
          <w:szCs w:val="24"/>
        </w:rPr>
      </w:pPr>
      <w:r w:rsidRPr="00B656C4">
        <w:rPr>
          <w:rFonts w:ascii="Arial" w:eastAsia="Arial" w:hAnsi="Arial" w:cs="Arial"/>
          <w:sz w:val="24"/>
          <w:szCs w:val="24"/>
        </w:rPr>
        <w:t>A pesar que se consideró la variabilidad debido al tiempo de seguimiento de 2 a 5 años, los estudios incluidos no exponían detalles al respecto. Como la mayoría de los participantes de los 3 ECA fueron seguidos aproximadamente por 3 años, se realizó un análisis post hoc agrupando los estudios en el lapso de tiempo de seguimiento de 2 a 5 años. También tomamos en cuenta que algunas investigaciones previas plantean que el tiempo mínimo de protección contra la reactivación de la TB</w:t>
      </w:r>
      <w:r w:rsidR="00301650" w:rsidRPr="00B656C4">
        <w:rPr>
          <w:rFonts w:ascii="Arial" w:eastAsia="Arial" w:hAnsi="Arial" w:cs="Arial"/>
          <w:sz w:val="24"/>
          <w:szCs w:val="24"/>
        </w:rPr>
        <w:t xml:space="preserve"> con regímenes de corta </w:t>
      </w:r>
      <w:r w:rsidR="000A00EC" w:rsidRPr="00B656C4">
        <w:rPr>
          <w:rFonts w:ascii="Arial" w:eastAsia="Arial" w:hAnsi="Arial" w:cs="Arial"/>
          <w:sz w:val="24"/>
          <w:szCs w:val="24"/>
        </w:rPr>
        <w:t>duración es aproximadamente</w:t>
      </w:r>
      <w:r w:rsidRPr="00B656C4">
        <w:rPr>
          <w:rFonts w:ascii="Arial" w:eastAsia="Arial" w:hAnsi="Arial" w:cs="Arial"/>
          <w:sz w:val="24"/>
          <w:szCs w:val="24"/>
        </w:rPr>
        <w:t xml:space="preserve"> 3 años (3).</w:t>
      </w:r>
    </w:p>
    <w:p w14:paraId="50029140" w14:textId="77777777" w:rsidR="00F96791" w:rsidRPr="009560FE" w:rsidRDefault="00F96791" w:rsidP="5141EA98">
      <w:pPr>
        <w:spacing w:after="0" w:line="360" w:lineRule="auto"/>
        <w:jc w:val="both"/>
        <w:rPr>
          <w:rFonts w:ascii="Arial" w:eastAsia="Arial" w:hAnsi="Arial" w:cs="Arial"/>
          <w:sz w:val="24"/>
          <w:szCs w:val="24"/>
        </w:rPr>
      </w:pPr>
    </w:p>
    <w:p w14:paraId="384CBE46" w14:textId="01055142" w:rsidR="5141EA98" w:rsidRDefault="007E0305" w:rsidP="00450852">
      <w:pPr>
        <w:pStyle w:val="Ttulo1"/>
        <w:jc w:val="center"/>
      </w:pPr>
      <w:bookmarkStart w:id="32" w:name="_Toc85474291"/>
      <w:r w:rsidRPr="00F04491">
        <w:lastRenderedPageBreak/>
        <w:t>Conflicto de intereses</w:t>
      </w:r>
      <w:bookmarkEnd w:id="32"/>
    </w:p>
    <w:p w14:paraId="36A433B3" w14:textId="77777777" w:rsidR="00BA37E4" w:rsidRPr="00720DAE" w:rsidRDefault="00BA37E4" w:rsidP="00720DAE"/>
    <w:p w14:paraId="302AAB79" w14:textId="0E6B9261" w:rsidR="5141EA98" w:rsidRPr="00F04491" w:rsidRDefault="000D26A1" w:rsidP="00E21981">
      <w:pPr>
        <w:spacing w:after="0" w:line="360" w:lineRule="auto"/>
        <w:ind w:firstLine="680"/>
        <w:jc w:val="both"/>
        <w:rPr>
          <w:rFonts w:ascii="Arial" w:eastAsia="Arial" w:hAnsi="Arial" w:cs="Arial"/>
          <w:sz w:val="24"/>
          <w:szCs w:val="24"/>
        </w:rPr>
      </w:pPr>
      <w:r>
        <w:rPr>
          <w:rFonts w:ascii="Arial" w:eastAsia="Arial" w:hAnsi="Arial" w:cs="Arial"/>
          <w:sz w:val="24"/>
          <w:szCs w:val="24"/>
        </w:rPr>
        <w:t>L</w:t>
      </w:r>
      <w:r w:rsidR="5141EA98" w:rsidRPr="00F04491">
        <w:rPr>
          <w:rFonts w:ascii="Arial" w:eastAsia="Arial" w:hAnsi="Arial" w:cs="Arial"/>
          <w:sz w:val="24"/>
          <w:szCs w:val="24"/>
        </w:rPr>
        <w:t>os autores declara</w:t>
      </w:r>
      <w:r>
        <w:rPr>
          <w:rFonts w:ascii="Arial" w:eastAsia="Arial" w:hAnsi="Arial" w:cs="Arial"/>
          <w:sz w:val="24"/>
          <w:szCs w:val="24"/>
        </w:rPr>
        <w:t>n no tener</w:t>
      </w:r>
      <w:r w:rsidR="5141EA98" w:rsidRPr="00F04491">
        <w:rPr>
          <w:rFonts w:ascii="Arial" w:eastAsia="Arial" w:hAnsi="Arial" w:cs="Arial"/>
          <w:sz w:val="24"/>
          <w:szCs w:val="24"/>
        </w:rPr>
        <w:t xml:space="preserve"> conflicto de interés para la publicación de este manuscrito.</w:t>
      </w:r>
    </w:p>
    <w:p w14:paraId="04AD3642" w14:textId="77777777" w:rsidR="0069138C" w:rsidRDefault="0069138C" w:rsidP="00E21981">
      <w:pPr>
        <w:spacing w:after="0" w:line="240" w:lineRule="auto"/>
        <w:jc w:val="both"/>
        <w:rPr>
          <w:rFonts w:ascii="Arial" w:eastAsia="Arial" w:hAnsi="Arial" w:cs="Arial"/>
          <w:sz w:val="24"/>
          <w:szCs w:val="24"/>
          <w:highlight w:val="yellow"/>
        </w:rPr>
      </w:pPr>
    </w:p>
    <w:p w14:paraId="4F01A0AB" w14:textId="75C35A93" w:rsidR="5141EA98" w:rsidRDefault="007E0305" w:rsidP="00450852">
      <w:pPr>
        <w:pStyle w:val="Ttulo1"/>
        <w:jc w:val="center"/>
      </w:pPr>
      <w:bookmarkStart w:id="33" w:name="_Toc85474292"/>
      <w:r w:rsidRPr="5141EA98">
        <w:t>Financiación</w:t>
      </w:r>
      <w:bookmarkEnd w:id="33"/>
    </w:p>
    <w:p w14:paraId="78EA9694" w14:textId="77777777" w:rsidR="00BA37E4" w:rsidRPr="00BA37E4" w:rsidRDefault="00BA37E4" w:rsidP="00720DAE"/>
    <w:p w14:paraId="5C7B6FD6" w14:textId="75CB407E" w:rsidR="5141EA98" w:rsidRDefault="5141EA98" w:rsidP="00E21981">
      <w:pPr>
        <w:spacing w:after="0" w:line="360" w:lineRule="auto"/>
        <w:ind w:firstLine="680"/>
        <w:jc w:val="both"/>
        <w:rPr>
          <w:rFonts w:ascii="Arial" w:eastAsia="Arial" w:hAnsi="Arial" w:cs="Arial"/>
          <w:sz w:val="24"/>
          <w:szCs w:val="24"/>
        </w:rPr>
      </w:pPr>
      <w:r w:rsidRPr="5141EA98">
        <w:rPr>
          <w:rFonts w:ascii="Arial" w:eastAsia="Arial" w:hAnsi="Arial" w:cs="Arial"/>
          <w:sz w:val="24"/>
          <w:szCs w:val="24"/>
        </w:rPr>
        <w:t xml:space="preserve">Este informe es una investigación independiente respaldada por una beca para Maestría en Epidemiología </w:t>
      </w:r>
      <w:r w:rsidR="006C1646">
        <w:rPr>
          <w:rFonts w:ascii="Arial" w:eastAsia="Arial" w:hAnsi="Arial" w:cs="Arial"/>
          <w:sz w:val="24"/>
          <w:szCs w:val="24"/>
        </w:rPr>
        <w:t xml:space="preserve">en </w:t>
      </w:r>
      <w:r w:rsidRPr="5141EA98">
        <w:rPr>
          <w:rFonts w:ascii="Arial" w:eastAsia="Arial" w:hAnsi="Arial" w:cs="Arial"/>
          <w:sz w:val="24"/>
          <w:szCs w:val="24"/>
        </w:rPr>
        <w:t xml:space="preserve">convenio </w:t>
      </w:r>
      <w:r w:rsidR="000D26A1">
        <w:rPr>
          <w:rFonts w:ascii="Arial" w:eastAsia="Arial" w:hAnsi="Arial" w:cs="Arial"/>
          <w:sz w:val="24"/>
          <w:szCs w:val="24"/>
        </w:rPr>
        <w:t xml:space="preserve">de la </w:t>
      </w:r>
      <w:r w:rsidRPr="5141EA98">
        <w:rPr>
          <w:rFonts w:ascii="Arial" w:eastAsia="Arial" w:hAnsi="Arial" w:cs="Arial"/>
          <w:sz w:val="24"/>
          <w:szCs w:val="24"/>
        </w:rPr>
        <w:t xml:space="preserve">Universidad de Antioquía y el </w:t>
      </w:r>
      <w:r w:rsidR="00727BF8">
        <w:rPr>
          <w:rFonts w:ascii="Arial" w:eastAsia="Arial" w:hAnsi="Arial" w:cs="Arial"/>
          <w:sz w:val="24"/>
          <w:szCs w:val="24"/>
        </w:rPr>
        <w:t>P</w:t>
      </w:r>
      <w:r w:rsidRPr="5141EA98">
        <w:rPr>
          <w:rFonts w:ascii="Arial" w:eastAsia="Arial" w:hAnsi="Arial" w:cs="Arial"/>
          <w:sz w:val="24"/>
          <w:szCs w:val="24"/>
        </w:rPr>
        <w:t xml:space="preserve">rograma </w:t>
      </w:r>
      <w:r w:rsidR="00727BF8">
        <w:rPr>
          <w:rFonts w:ascii="Arial" w:eastAsia="Arial" w:hAnsi="Arial" w:cs="Arial"/>
          <w:sz w:val="24"/>
          <w:szCs w:val="24"/>
        </w:rPr>
        <w:t xml:space="preserve">Especial </w:t>
      </w:r>
      <w:r w:rsidRPr="5141EA98">
        <w:rPr>
          <w:rFonts w:ascii="Arial" w:eastAsia="Arial" w:hAnsi="Arial" w:cs="Arial"/>
          <w:sz w:val="24"/>
          <w:szCs w:val="24"/>
        </w:rPr>
        <w:t xml:space="preserve">de </w:t>
      </w:r>
      <w:r w:rsidR="00727BF8">
        <w:rPr>
          <w:rFonts w:ascii="Arial" w:eastAsia="Arial" w:hAnsi="Arial" w:cs="Arial"/>
          <w:sz w:val="24"/>
          <w:szCs w:val="24"/>
        </w:rPr>
        <w:t>I</w:t>
      </w:r>
      <w:r w:rsidRPr="5141EA98">
        <w:rPr>
          <w:rFonts w:ascii="Arial" w:eastAsia="Arial" w:hAnsi="Arial" w:cs="Arial"/>
          <w:sz w:val="24"/>
          <w:szCs w:val="24"/>
        </w:rPr>
        <w:t xml:space="preserve">nvestigación y </w:t>
      </w:r>
      <w:r w:rsidR="00727BF8">
        <w:rPr>
          <w:rFonts w:ascii="Arial" w:eastAsia="Arial" w:hAnsi="Arial" w:cs="Arial"/>
          <w:sz w:val="24"/>
          <w:szCs w:val="24"/>
        </w:rPr>
        <w:t>Capacitación</w:t>
      </w:r>
      <w:r w:rsidRPr="5141EA98">
        <w:rPr>
          <w:rFonts w:ascii="Arial" w:eastAsia="Arial" w:hAnsi="Arial" w:cs="Arial"/>
          <w:sz w:val="24"/>
          <w:szCs w:val="24"/>
        </w:rPr>
        <w:t xml:space="preserve"> </w:t>
      </w:r>
      <w:r w:rsidR="00727BF8">
        <w:rPr>
          <w:rFonts w:ascii="Arial" w:eastAsia="Arial" w:hAnsi="Arial" w:cs="Arial"/>
          <w:sz w:val="24"/>
          <w:szCs w:val="24"/>
        </w:rPr>
        <w:t>en</w:t>
      </w:r>
      <w:r w:rsidRPr="5141EA98">
        <w:rPr>
          <w:rFonts w:ascii="Arial" w:eastAsia="Arial" w:hAnsi="Arial" w:cs="Arial"/>
          <w:sz w:val="24"/>
          <w:szCs w:val="24"/>
        </w:rPr>
        <w:t xml:space="preserve"> </w:t>
      </w:r>
      <w:r w:rsidR="00727BF8">
        <w:rPr>
          <w:rFonts w:ascii="Arial" w:eastAsia="Arial" w:hAnsi="Arial" w:cs="Arial"/>
          <w:sz w:val="24"/>
          <w:szCs w:val="24"/>
        </w:rPr>
        <w:t>E</w:t>
      </w:r>
      <w:r w:rsidRPr="5141EA98">
        <w:rPr>
          <w:rFonts w:ascii="Arial" w:eastAsia="Arial" w:hAnsi="Arial" w:cs="Arial"/>
          <w:sz w:val="24"/>
          <w:szCs w:val="24"/>
        </w:rPr>
        <w:t xml:space="preserve">nfermedades </w:t>
      </w:r>
      <w:r w:rsidR="00727BF8">
        <w:rPr>
          <w:rFonts w:ascii="Arial" w:eastAsia="Arial" w:hAnsi="Arial" w:cs="Arial"/>
          <w:sz w:val="24"/>
          <w:szCs w:val="24"/>
        </w:rPr>
        <w:t>T</w:t>
      </w:r>
      <w:r w:rsidRPr="5141EA98">
        <w:rPr>
          <w:rFonts w:ascii="Arial" w:eastAsia="Arial" w:hAnsi="Arial" w:cs="Arial"/>
          <w:sz w:val="24"/>
          <w:szCs w:val="24"/>
        </w:rPr>
        <w:t>ropicales (TDR: Tropical Disease Research).</w:t>
      </w:r>
      <w:r w:rsidR="00720DAE">
        <w:rPr>
          <w:rFonts w:ascii="Arial" w:eastAsia="Arial" w:hAnsi="Arial" w:cs="Arial"/>
          <w:sz w:val="24"/>
          <w:szCs w:val="24"/>
        </w:rPr>
        <w:t xml:space="preserve"> </w:t>
      </w:r>
      <w:r w:rsidR="0014741A">
        <w:rPr>
          <w:rFonts w:ascii="Arial" w:eastAsia="Arial" w:hAnsi="Arial" w:cs="Arial"/>
          <w:sz w:val="24"/>
          <w:szCs w:val="24"/>
        </w:rPr>
        <w:t>Los financiadores no influyeron en los resultados de esta investigación.</w:t>
      </w:r>
    </w:p>
    <w:p w14:paraId="0D3F1126" w14:textId="4781A0BE" w:rsidR="00F34C89" w:rsidRDefault="00F34C89" w:rsidP="5141EA98">
      <w:pPr>
        <w:spacing w:after="0" w:line="360" w:lineRule="auto"/>
        <w:jc w:val="both"/>
        <w:rPr>
          <w:rFonts w:ascii="Arial" w:eastAsia="Arial" w:hAnsi="Arial" w:cs="Arial"/>
          <w:sz w:val="24"/>
          <w:szCs w:val="24"/>
        </w:rPr>
      </w:pPr>
    </w:p>
    <w:p w14:paraId="53006CDE" w14:textId="27C5A3DA" w:rsidR="00F34C89" w:rsidRDefault="007E0305" w:rsidP="00450852">
      <w:pPr>
        <w:pStyle w:val="Ttulo1"/>
        <w:jc w:val="center"/>
        <w:rPr>
          <w:lang w:eastAsia="es-ES"/>
        </w:rPr>
      </w:pPr>
      <w:bookmarkStart w:id="34" w:name="_Toc85474293"/>
      <w:r w:rsidRPr="00DD0081">
        <w:rPr>
          <w:lang w:eastAsia="es-ES"/>
        </w:rPr>
        <w:t>Disponibilidad de datos</w:t>
      </w:r>
      <w:bookmarkEnd w:id="34"/>
    </w:p>
    <w:p w14:paraId="07C71370" w14:textId="77777777" w:rsidR="00BA37E4" w:rsidRPr="00F34C89" w:rsidRDefault="00BA37E4" w:rsidP="5141EA98">
      <w:pPr>
        <w:spacing w:after="0" w:line="360" w:lineRule="auto"/>
        <w:jc w:val="both"/>
        <w:rPr>
          <w:rFonts w:ascii="Arial" w:eastAsia="Arial" w:hAnsi="Arial" w:cs="Arial"/>
          <w:b/>
          <w:bCs/>
          <w:sz w:val="24"/>
          <w:szCs w:val="24"/>
        </w:rPr>
      </w:pPr>
    </w:p>
    <w:p w14:paraId="240B7905" w14:textId="440AF82A" w:rsidR="0083325D" w:rsidRDefault="00F34C89" w:rsidP="00450852">
      <w:pPr>
        <w:spacing w:after="0" w:line="360" w:lineRule="auto"/>
        <w:ind w:firstLine="680"/>
        <w:jc w:val="both"/>
        <w:rPr>
          <w:rFonts w:ascii="Arial" w:eastAsia="Arial" w:hAnsi="Arial" w:cs="Arial"/>
          <w:sz w:val="24"/>
          <w:szCs w:val="24"/>
        </w:rPr>
      </w:pPr>
      <w:r>
        <w:rPr>
          <w:rFonts w:ascii="Arial" w:eastAsia="Arial" w:hAnsi="Arial" w:cs="Arial"/>
          <w:sz w:val="24"/>
          <w:szCs w:val="24"/>
        </w:rPr>
        <w:t xml:space="preserve">Comunicarse con Marco Niño: </w:t>
      </w:r>
      <w:r w:rsidR="004F6FED" w:rsidRPr="000A00EC">
        <w:rPr>
          <w:rFonts w:ascii="Arial" w:eastAsia="Arial" w:hAnsi="Arial" w:cs="Arial"/>
          <w:sz w:val="24"/>
          <w:szCs w:val="24"/>
        </w:rPr>
        <w:t>marco.nino@udea.edu.co</w:t>
      </w:r>
      <w:r w:rsidR="004F6FED">
        <w:rPr>
          <w:rFonts w:ascii="Arial" w:eastAsia="Arial" w:hAnsi="Arial" w:cs="Arial"/>
          <w:sz w:val="24"/>
          <w:szCs w:val="24"/>
        </w:rPr>
        <w:t xml:space="preserve"> </w:t>
      </w:r>
      <w:r w:rsidR="00F056D5">
        <w:rPr>
          <w:rFonts w:ascii="Arial" w:eastAsia="Arial" w:hAnsi="Arial" w:cs="Arial"/>
          <w:sz w:val="24"/>
          <w:szCs w:val="24"/>
        </w:rPr>
        <w:t xml:space="preserve"> </w:t>
      </w:r>
    </w:p>
    <w:p w14:paraId="73DF3D05" w14:textId="77777777" w:rsidR="00450852" w:rsidRDefault="00450852" w:rsidP="00450852">
      <w:pPr>
        <w:spacing w:after="0" w:line="360" w:lineRule="auto"/>
        <w:ind w:firstLine="680"/>
        <w:jc w:val="both"/>
        <w:rPr>
          <w:rFonts w:ascii="Arial" w:eastAsia="Arial" w:hAnsi="Arial" w:cs="Arial"/>
          <w:sz w:val="24"/>
          <w:szCs w:val="24"/>
        </w:rPr>
      </w:pPr>
    </w:p>
    <w:p w14:paraId="488A1486" w14:textId="744239B5" w:rsidR="00295943" w:rsidRDefault="00295943" w:rsidP="00E24416">
      <w:pPr>
        <w:spacing w:after="0" w:line="360" w:lineRule="auto"/>
        <w:jc w:val="both"/>
        <w:rPr>
          <w:rFonts w:ascii="Arial" w:eastAsia="Arial" w:hAnsi="Arial" w:cs="Arial"/>
          <w:sz w:val="24"/>
          <w:szCs w:val="24"/>
        </w:rPr>
      </w:pPr>
    </w:p>
    <w:p w14:paraId="2BACDD93" w14:textId="3E14E370" w:rsidR="00295943" w:rsidRDefault="00BE4B12" w:rsidP="00450852">
      <w:pPr>
        <w:spacing w:after="0" w:line="360" w:lineRule="auto"/>
        <w:jc w:val="center"/>
        <w:rPr>
          <w:rFonts w:ascii="Arial" w:eastAsia="Arial" w:hAnsi="Arial" w:cs="Arial"/>
          <w:b/>
          <w:bCs/>
          <w:sz w:val="24"/>
          <w:szCs w:val="24"/>
        </w:rPr>
      </w:pPr>
      <w:r w:rsidRPr="00BE4B12">
        <w:rPr>
          <w:rFonts w:ascii="Arial" w:eastAsia="Arial" w:hAnsi="Arial" w:cs="Arial"/>
          <w:b/>
          <w:bCs/>
          <w:sz w:val="24"/>
          <w:szCs w:val="24"/>
        </w:rPr>
        <w:t>Agradecimientos</w:t>
      </w:r>
    </w:p>
    <w:p w14:paraId="426604D9" w14:textId="77777777" w:rsidR="00450852" w:rsidRPr="00BE4B12" w:rsidRDefault="00450852" w:rsidP="00E24416">
      <w:pPr>
        <w:spacing w:after="0" w:line="360" w:lineRule="auto"/>
        <w:jc w:val="both"/>
        <w:rPr>
          <w:rFonts w:ascii="Arial" w:eastAsia="Arial" w:hAnsi="Arial" w:cs="Arial"/>
          <w:b/>
          <w:bCs/>
          <w:sz w:val="24"/>
          <w:szCs w:val="24"/>
        </w:rPr>
      </w:pPr>
    </w:p>
    <w:p w14:paraId="502B46B6" w14:textId="282096F8" w:rsidR="00BE4B12" w:rsidRPr="00450852" w:rsidRDefault="00BE4B12" w:rsidP="00450852">
      <w:pPr>
        <w:pStyle w:val="Prrafodelista"/>
        <w:numPr>
          <w:ilvl w:val="0"/>
          <w:numId w:val="31"/>
        </w:numPr>
        <w:spacing w:after="0" w:line="360" w:lineRule="auto"/>
        <w:jc w:val="both"/>
        <w:rPr>
          <w:rFonts w:ascii="Arial" w:eastAsia="Arial" w:hAnsi="Arial" w:cs="Arial"/>
          <w:sz w:val="24"/>
          <w:szCs w:val="24"/>
        </w:rPr>
      </w:pPr>
      <w:r w:rsidRPr="00450852">
        <w:rPr>
          <w:rFonts w:ascii="Arial" w:eastAsia="Arial" w:hAnsi="Arial" w:cs="Arial"/>
          <w:sz w:val="24"/>
          <w:szCs w:val="24"/>
        </w:rPr>
        <w:t>Paola Ramírez (Bibliotecóloga experta en revisiones sistemáticas, Universidad de Antioquia)</w:t>
      </w:r>
    </w:p>
    <w:p w14:paraId="27449D8B" w14:textId="1CA15318" w:rsidR="00BE4B12" w:rsidRPr="00450852" w:rsidRDefault="00BE4B12" w:rsidP="00450852">
      <w:pPr>
        <w:pStyle w:val="Prrafodelista"/>
        <w:numPr>
          <w:ilvl w:val="0"/>
          <w:numId w:val="31"/>
        </w:numPr>
        <w:spacing w:after="0" w:line="360" w:lineRule="auto"/>
        <w:jc w:val="both"/>
        <w:rPr>
          <w:rFonts w:ascii="Arial" w:eastAsia="Arial" w:hAnsi="Arial" w:cs="Arial"/>
          <w:sz w:val="24"/>
          <w:szCs w:val="24"/>
        </w:rPr>
      </w:pPr>
      <w:r w:rsidRPr="00450852">
        <w:rPr>
          <w:rFonts w:ascii="Arial" w:eastAsia="Arial" w:hAnsi="Arial" w:cs="Arial"/>
          <w:sz w:val="24"/>
          <w:szCs w:val="24"/>
        </w:rPr>
        <w:t>Juan Camilo Mendez (Asesor de lectura, escritura y oralidad, Universidad de Antioquia)</w:t>
      </w:r>
    </w:p>
    <w:p w14:paraId="6F32F367" w14:textId="10B0A77D" w:rsidR="00295943" w:rsidRDefault="00295943" w:rsidP="00E24416">
      <w:pPr>
        <w:spacing w:after="0" w:line="360" w:lineRule="auto"/>
        <w:jc w:val="both"/>
        <w:rPr>
          <w:rFonts w:ascii="Arial" w:eastAsia="Arial" w:hAnsi="Arial" w:cs="Arial"/>
          <w:sz w:val="24"/>
          <w:szCs w:val="24"/>
        </w:rPr>
      </w:pPr>
    </w:p>
    <w:p w14:paraId="64161DA1" w14:textId="3F7BA4AC" w:rsidR="00295943" w:rsidRDefault="00295943" w:rsidP="00E24416">
      <w:pPr>
        <w:spacing w:after="0" w:line="360" w:lineRule="auto"/>
        <w:jc w:val="both"/>
        <w:rPr>
          <w:rFonts w:ascii="Arial" w:eastAsia="Arial" w:hAnsi="Arial" w:cs="Arial"/>
          <w:sz w:val="24"/>
          <w:szCs w:val="24"/>
        </w:rPr>
      </w:pPr>
    </w:p>
    <w:p w14:paraId="056925A4" w14:textId="63104045" w:rsidR="00295943" w:rsidRDefault="00295943" w:rsidP="00E24416">
      <w:pPr>
        <w:spacing w:after="0" w:line="360" w:lineRule="auto"/>
        <w:jc w:val="both"/>
        <w:rPr>
          <w:rFonts w:ascii="Arial" w:eastAsia="Arial" w:hAnsi="Arial" w:cs="Arial"/>
          <w:sz w:val="24"/>
          <w:szCs w:val="24"/>
        </w:rPr>
      </w:pPr>
    </w:p>
    <w:p w14:paraId="7C13D678" w14:textId="2017B17B" w:rsidR="00295943" w:rsidRDefault="00295943" w:rsidP="00E24416">
      <w:pPr>
        <w:spacing w:after="0" w:line="360" w:lineRule="auto"/>
        <w:jc w:val="both"/>
        <w:rPr>
          <w:rFonts w:ascii="Arial" w:eastAsia="Arial" w:hAnsi="Arial" w:cs="Arial"/>
          <w:sz w:val="24"/>
          <w:szCs w:val="24"/>
        </w:rPr>
      </w:pPr>
    </w:p>
    <w:p w14:paraId="48008723" w14:textId="574D202E" w:rsidR="00295943" w:rsidRDefault="00295943" w:rsidP="00E24416">
      <w:pPr>
        <w:spacing w:after="0" w:line="360" w:lineRule="auto"/>
        <w:jc w:val="both"/>
        <w:rPr>
          <w:rFonts w:ascii="Arial" w:eastAsia="Arial" w:hAnsi="Arial" w:cs="Arial"/>
          <w:sz w:val="24"/>
          <w:szCs w:val="24"/>
        </w:rPr>
      </w:pPr>
    </w:p>
    <w:p w14:paraId="44D87614" w14:textId="3F36B049" w:rsidR="00295943" w:rsidRDefault="00295943" w:rsidP="00E24416">
      <w:pPr>
        <w:spacing w:after="0" w:line="360" w:lineRule="auto"/>
        <w:jc w:val="both"/>
        <w:rPr>
          <w:rFonts w:ascii="Arial" w:eastAsia="Arial" w:hAnsi="Arial" w:cs="Arial"/>
          <w:sz w:val="24"/>
          <w:szCs w:val="24"/>
        </w:rPr>
      </w:pPr>
    </w:p>
    <w:p w14:paraId="3015C440" w14:textId="4E169C06" w:rsidR="00295943" w:rsidRDefault="00295943" w:rsidP="00E24416">
      <w:pPr>
        <w:spacing w:after="0" w:line="360" w:lineRule="auto"/>
        <w:jc w:val="both"/>
        <w:rPr>
          <w:rFonts w:ascii="Arial" w:eastAsia="Arial" w:hAnsi="Arial" w:cs="Arial"/>
          <w:sz w:val="24"/>
          <w:szCs w:val="24"/>
        </w:rPr>
      </w:pPr>
    </w:p>
    <w:p w14:paraId="135176A9" w14:textId="03A5CE90" w:rsidR="009A59E8" w:rsidRDefault="006466D5" w:rsidP="00366A36">
      <w:pPr>
        <w:pStyle w:val="Ttulo1"/>
        <w:jc w:val="center"/>
        <w:rPr>
          <w:bCs/>
        </w:rPr>
      </w:pPr>
      <w:bookmarkStart w:id="35" w:name="_Toc85474294"/>
      <w:r w:rsidRPr="002F7A53">
        <w:rPr>
          <w:bCs/>
        </w:rPr>
        <w:lastRenderedPageBreak/>
        <w:t>Referencias</w:t>
      </w:r>
      <w:bookmarkEnd w:id="35"/>
    </w:p>
    <w:p w14:paraId="12EC9700" w14:textId="77777777" w:rsidR="00BA37E4" w:rsidRPr="00720DAE" w:rsidRDefault="00BA37E4" w:rsidP="00720DAE"/>
    <w:p w14:paraId="2D869383" w14:textId="62C87B6C"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rPr>
      </w:pPr>
      <w:r w:rsidRPr="002F7A53">
        <w:rPr>
          <w:rFonts w:ascii="Arial" w:hAnsi="Arial" w:cs="Arial"/>
          <w:sz w:val="24"/>
          <w:szCs w:val="24"/>
          <w:shd w:val="clear" w:color="auto" w:fill="FFFFFF"/>
        </w:rPr>
        <w:fldChar w:fldCharType="begin" w:fldLock="1"/>
      </w:r>
      <w:r w:rsidRPr="002F7A53">
        <w:rPr>
          <w:rFonts w:ascii="Arial" w:hAnsi="Arial" w:cs="Arial"/>
          <w:sz w:val="24"/>
          <w:szCs w:val="24"/>
          <w:shd w:val="clear" w:color="auto" w:fill="FFFFFF"/>
        </w:rPr>
        <w:instrText xml:space="preserve">ADDIN Mendeley Bibliography CSL_BIBLIOGRAPHY </w:instrText>
      </w:r>
      <w:r w:rsidRPr="002F7A53">
        <w:rPr>
          <w:rFonts w:ascii="Arial" w:hAnsi="Arial" w:cs="Arial"/>
          <w:sz w:val="24"/>
          <w:szCs w:val="24"/>
          <w:shd w:val="clear" w:color="auto" w:fill="FFFFFF"/>
        </w:rPr>
        <w:fldChar w:fldCharType="separate"/>
      </w:r>
      <w:r w:rsidRPr="002F7A53">
        <w:rPr>
          <w:rFonts w:ascii="Arial" w:hAnsi="Arial" w:cs="Arial"/>
          <w:noProof/>
          <w:sz w:val="24"/>
          <w:szCs w:val="24"/>
        </w:rPr>
        <w:t xml:space="preserve">1. </w:t>
      </w:r>
      <w:r w:rsidRPr="002F7A53">
        <w:rPr>
          <w:rFonts w:ascii="Arial" w:hAnsi="Arial" w:cs="Arial"/>
          <w:noProof/>
          <w:sz w:val="24"/>
          <w:szCs w:val="24"/>
        </w:rPr>
        <w:tab/>
      </w:r>
      <w:r w:rsidRPr="008A6103">
        <w:rPr>
          <w:rFonts w:ascii="Arial" w:hAnsi="Arial" w:cs="Arial"/>
          <w:noProof/>
          <w:sz w:val="24"/>
          <w:szCs w:val="24"/>
        </w:rPr>
        <w:t xml:space="preserve">Ministerio de </w:t>
      </w:r>
      <w:r w:rsidR="00F056D5">
        <w:rPr>
          <w:rFonts w:ascii="Arial" w:hAnsi="Arial" w:cs="Arial"/>
          <w:noProof/>
          <w:sz w:val="24"/>
          <w:szCs w:val="24"/>
        </w:rPr>
        <w:t>S</w:t>
      </w:r>
      <w:r w:rsidRPr="008A6103">
        <w:rPr>
          <w:rFonts w:ascii="Arial" w:hAnsi="Arial" w:cs="Arial"/>
          <w:noProof/>
          <w:sz w:val="24"/>
          <w:szCs w:val="24"/>
        </w:rPr>
        <w:t xml:space="preserve">alud y </w:t>
      </w:r>
      <w:r w:rsidR="00F056D5">
        <w:rPr>
          <w:rFonts w:ascii="Arial" w:hAnsi="Arial" w:cs="Arial"/>
          <w:noProof/>
          <w:sz w:val="24"/>
          <w:szCs w:val="24"/>
        </w:rPr>
        <w:t>B</w:t>
      </w:r>
      <w:r w:rsidRPr="008A6103">
        <w:rPr>
          <w:rFonts w:ascii="Arial" w:hAnsi="Arial" w:cs="Arial"/>
          <w:noProof/>
          <w:sz w:val="24"/>
          <w:szCs w:val="24"/>
        </w:rPr>
        <w:t xml:space="preserve">ienestar </w:t>
      </w:r>
      <w:r w:rsidR="00F056D5">
        <w:rPr>
          <w:rFonts w:ascii="Arial" w:hAnsi="Arial" w:cs="Arial"/>
          <w:noProof/>
          <w:sz w:val="24"/>
          <w:szCs w:val="24"/>
        </w:rPr>
        <w:t>S</w:t>
      </w:r>
      <w:r w:rsidRPr="008A6103">
        <w:rPr>
          <w:rFonts w:ascii="Arial" w:hAnsi="Arial" w:cs="Arial"/>
          <w:noProof/>
          <w:sz w:val="24"/>
          <w:szCs w:val="24"/>
        </w:rPr>
        <w:t>ocial. Guia nacional para el manejo de la tuberculosis.</w:t>
      </w:r>
      <w:r>
        <w:rPr>
          <w:rFonts w:ascii="Arial" w:hAnsi="Arial" w:cs="Arial"/>
          <w:noProof/>
          <w:sz w:val="24"/>
          <w:szCs w:val="24"/>
        </w:rPr>
        <w:t xml:space="preserve"> 15 ed.</w:t>
      </w:r>
      <w:r w:rsidRPr="008A6103">
        <w:rPr>
          <w:rFonts w:ascii="Arial" w:hAnsi="Arial" w:cs="Arial"/>
          <w:noProof/>
          <w:sz w:val="24"/>
          <w:szCs w:val="24"/>
        </w:rPr>
        <w:t xml:space="preserve"> Paraguay</w:t>
      </w:r>
      <w:r w:rsidR="00181E7C">
        <w:rPr>
          <w:rFonts w:ascii="Arial" w:hAnsi="Arial" w:cs="Arial"/>
          <w:noProof/>
          <w:sz w:val="24"/>
          <w:szCs w:val="24"/>
        </w:rPr>
        <w:t>;</w:t>
      </w:r>
      <w:r w:rsidRPr="008A6103">
        <w:rPr>
          <w:rFonts w:ascii="Arial" w:hAnsi="Arial" w:cs="Arial"/>
          <w:noProof/>
          <w:sz w:val="24"/>
          <w:szCs w:val="24"/>
        </w:rPr>
        <w:t xml:space="preserve"> 2018. </w:t>
      </w:r>
    </w:p>
    <w:p w14:paraId="4033C4D0" w14:textId="77777777" w:rsidR="00D8601A" w:rsidRPr="008A6103" w:rsidRDefault="00D8601A" w:rsidP="00D8601A">
      <w:pPr>
        <w:widowControl w:val="0"/>
        <w:autoSpaceDE w:val="0"/>
        <w:autoSpaceDN w:val="0"/>
        <w:adjustRightInd w:val="0"/>
        <w:spacing w:after="0" w:line="240" w:lineRule="auto"/>
        <w:ind w:left="640" w:hanging="640"/>
        <w:jc w:val="both"/>
        <w:rPr>
          <w:rFonts w:ascii="Arial" w:hAnsi="Arial" w:cs="Arial"/>
          <w:noProof/>
          <w:sz w:val="24"/>
          <w:szCs w:val="24"/>
        </w:rPr>
      </w:pPr>
    </w:p>
    <w:p w14:paraId="1ED5C3B6" w14:textId="144C3FF1"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rPr>
      </w:pPr>
      <w:r w:rsidRPr="00A1785C">
        <w:rPr>
          <w:rFonts w:ascii="Arial" w:hAnsi="Arial" w:cs="Arial"/>
          <w:noProof/>
          <w:sz w:val="24"/>
          <w:szCs w:val="24"/>
          <w:lang w:val="en-US"/>
        </w:rPr>
        <w:t xml:space="preserve">2. </w:t>
      </w:r>
      <w:r w:rsidRPr="00A1785C">
        <w:rPr>
          <w:rFonts w:ascii="Arial" w:hAnsi="Arial" w:cs="Arial"/>
          <w:noProof/>
          <w:sz w:val="24"/>
          <w:szCs w:val="24"/>
          <w:lang w:val="en-US"/>
        </w:rPr>
        <w:tab/>
        <w:t xml:space="preserve">World Health Organization. Global Tuberculosis Report. </w:t>
      </w:r>
      <w:r w:rsidRPr="008A6103">
        <w:rPr>
          <w:rFonts w:ascii="Arial" w:hAnsi="Arial" w:cs="Arial"/>
          <w:noProof/>
          <w:sz w:val="24"/>
          <w:szCs w:val="24"/>
        </w:rPr>
        <w:t>Geneva</w:t>
      </w:r>
      <w:r>
        <w:rPr>
          <w:rFonts w:ascii="Arial" w:hAnsi="Arial" w:cs="Arial"/>
          <w:noProof/>
          <w:sz w:val="24"/>
          <w:szCs w:val="24"/>
        </w:rPr>
        <w:t>: OMS;</w:t>
      </w:r>
      <w:r w:rsidRPr="008A6103">
        <w:rPr>
          <w:rFonts w:ascii="Arial" w:hAnsi="Arial" w:cs="Arial"/>
          <w:noProof/>
          <w:sz w:val="24"/>
          <w:szCs w:val="24"/>
        </w:rPr>
        <w:t xml:space="preserve"> 2020. </w:t>
      </w:r>
    </w:p>
    <w:p w14:paraId="4C3DC0B0" w14:textId="77777777" w:rsidR="00D8601A" w:rsidRPr="008A6103" w:rsidRDefault="00D8601A" w:rsidP="00D8601A">
      <w:pPr>
        <w:widowControl w:val="0"/>
        <w:autoSpaceDE w:val="0"/>
        <w:autoSpaceDN w:val="0"/>
        <w:adjustRightInd w:val="0"/>
        <w:spacing w:after="0" w:line="240" w:lineRule="auto"/>
        <w:ind w:left="640" w:hanging="640"/>
        <w:jc w:val="both"/>
        <w:rPr>
          <w:rFonts w:ascii="Arial" w:hAnsi="Arial" w:cs="Arial"/>
          <w:noProof/>
          <w:sz w:val="24"/>
          <w:szCs w:val="24"/>
        </w:rPr>
      </w:pPr>
    </w:p>
    <w:p w14:paraId="09C1DCA9" w14:textId="24C87386"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rPr>
      </w:pPr>
      <w:r w:rsidRPr="008A6103">
        <w:rPr>
          <w:rFonts w:ascii="Arial" w:hAnsi="Arial" w:cs="Arial"/>
          <w:noProof/>
          <w:sz w:val="24"/>
          <w:szCs w:val="24"/>
        </w:rPr>
        <w:t xml:space="preserve">3. </w:t>
      </w:r>
      <w:r w:rsidRPr="008A6103">
        <w:rPr>
          <w:rFonts w:ascii="Arial" w:hAnsi="Arial" w:cs="Arial"/>
          <w:noProof/>
          <w:sz w:val="24"/>
          <w:szCs w:val="24"/>
        </w:rPr>
        <w:tab/>
        <w:t xml:space="preserve">Organizacion Panamericana de la Salud. </w:t>
      </w:r>
      <w:r w:rsidRPr="00AB65C2">
        <w:rPr>
          <w:rFonts w:ascii="Arial" w:hAnsi="Arial" w:cs="Arial"/>
          <w:sz w:val="24"/>
          <w:szCs w:val="24"/>
        </w:rPr>
        <w:t>Infección latente por tuberculosis. Directrices actualizadas y unificadas para el manejo programático</w:t>
      </w:r>
      <w:r w:rsidRPr="00AB65C2">
        <w:rPr>
          <w:rFonts w:ascii="Arial" w:hAnsi="Arial" w:cs="Arial"/>
          <w:noProof/>
          <w:sz w:val="24"/>
          <w:szCs w:val="24"/>
        </w:rPr>
        <w:t>.</w:t>
      </w:r>
      <w:r w:rsidRPr="008A6103">
        <w:rPr>
          <w:rFonts w:ascii="Arial" w:hAnsi="Arial" w:cs="Arial"/>
          <w:noProof/>
          <w:sz w:val="24"/>
          <w:szCs w:val="24"/>
        </w:rPr>
        <w:t xml:space="preserve"> </w:t>
      </w:r>
      <w:r w:rsidRPr="00AB65C2">
        <w:rPr>
          <w:rFonts w:ascii="Arial" w:hAnsi="Arial" w:cs="Arial"/>
          <w:noProof/>
          <w:sz w:val="24"/>
          <w:szCs w:val="24"/>
        </w:rPr>
        <w:t>Washington, D.C</w:t>
      </w:r>
      <w:r>
        <w:rPr>
          <w:rFonts w:ascii="Arial" w:hAnsi="Arial" w:cs="Arial"/>
          <w:noProof/>
          <w:sz w:val="24"/>
          <w:szCs w:val="24"/>
        </w:rPr>
        <w:t xml:space="preserve">: OPS. </w:t>
      </w:r>
      <w:r w:rsidRPr="008A6103">
        <w:rPr>
          <w:rFonts w:ascii="Arial" w:hAnsi="Arial" w:cs="Arial"/>
          <w:noProof/>
          <w:sz w:val="24"/>
          <w:szCs w:val="24"/>
        </w:rPr>
        <w:t xml:space="preserve">2018. </w:t>
      </w:r>
    </w:p>
    <w:p w14:paraId="3904A4E3" w14:textId="77777777" w:rsidR="00D8601A" w:rsidRPr="008A6103" w:rsidRDefault="00D8601A" w:rsidP="00D8601A">
      <w:pPr>
        <w:widowControl w:val="0"/>
        <w:autoSpaceDE w:val="0"/>
        <w:autoSpaceDN w:val="0"/>
        <w:adjustRightInd w:val="0"/>
        <w:spacing w:after="0" w:line="240" w:lineRule="auto"/>
        <w:ind w:left="640" w:hanging="640"/>
        <w:jc w:val="both"/>
        <w:rPr>
          <w:rFonts w:ascii="Arial" w:hAnsi="Arial" w:cs="Arial"/>
          <w:noProof/>
          <w:sz w:val="24"/>
          <w:szCs w:val="24"/>
        </w:rPr>
      </w:pPr>
    </w:p>
    <w:p w14:paraId="6D3AF411" w14:textId="02365DB4"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8A6103">
        <w:rPr>
          <w:rFonts w:ascii="Arial" w:hAnsi="Arial" w:cs="Arial"/>
          <w:noProof/>
          <w:sz w:val="24"/>
          <w:szCs w:val="24"/>
        </w:rPr>
        <w:t xml:space="preserve">4. </w:t>
      </w:r>
      <w:r w:rsidRPr="008A6103">
        <w:rPr>
          <w:rFonts w:ascii="Arial" w:hAnsi="Arial" w:cs="Arial"/>
          <w:noProof/>
          <w:sz w:val="24"/>
          <w:szCs w:val="24"/>
        </w:rPr>
        <w:tab/>
        <w:t>Machuca I,</w:t>
      </w:r>
      <w:r>
        <w:rPr>
          <w:rFonts w:ascii="Arial" w:hAnsi="Arial" w:cs="Arial"/>
          <w:noProof/>
          <w:sz w:val="24"/>
          <w:szCs w:val="24"/>
        </w:rPr>
        <w:t xml:space="preserve"> Vidal E, Torre J, Rivero A</w:t>
      </w:r>
      <w:r w:rsidRPr="008A6103">
        <w:rPr>
          <w:rFonts w:ascii="Arial" w:hAnsi="Arial" w:cs="Arial"/>
          <w:noProof/>
          <w:sz w:val="24"/>
          <w:szCs w:val="24"/>
        </w:rPr>
        <w:t xml:space="preserve">. Tuberculosis en pacientes inmunodeprimidos. </w:t>
      </w:r>
      <w:r w:rsidRPr="00A1785C">
        <w:rPr>
          <w:rFonts w:ascii="Arial" w:hAnsi="Arial" w:cs="Arial"/>
          <w:noProof/>
          <w:sz w:val="24"/>
          <w:szCs w:val="24"/>
          <w:lang w:val="en-US"/>
        </w:rPr>
        <w:t>Enferm Infecc Microbiol Clin. 2018;36(6):366–74</w:t>
      </w:r>
    </w:p>
    <w:p w14:paraId="7AB56F92" w14:textId="77777777" w:rsidR="00D8601A" w:rsidRPr="00A1785C" w:rsidRDefault="00D8601A"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09B2249E" w14:textId="7887391A"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 xml:space="preserve">5. </w:t>
      </w:r>
      <w:r w:rsidRPr="00A1785C">
        <w:rPr>
          <w:rFonts w:ascii="Arial" w:hAnsi="Arial" w:cs="Arial"/>
          <w:noProof/>
          <w:sz w:val="24"/>
          <w:szCs w:val="24"/>
          <w:lang w:val="en-US"/>
        </w:rPr>
        <w:tab/>
        <w:t>Sharma S, Sharma A, Kadhiravan T, Tharyan P. Rifamycins (rifampicin, rifabutin and rifapentine) compared to isoniazid for preventing tuberculosis in HIV-negative people at risk of active TB. Wiley. 2014;1(9):</w:t>
      </w:r>
      <w:r w:rsidRPr="00A1785C">
        <w:rPr>
          <w:lang w:val="en-US"/>
        </w:rPr>
        <w:t xml:space="preserve"> </w:t>
      </w:r>
      <w:r w:rsidRPr="00A1785C">
        <w:rPr>
          <w:rFonts w:ascii="Arial" w:hAnsi="Arial" w:cs="Arial"/>
          <w:noProof/>
          <w:sz w:val="24"/>
          <w:szCs w:val="24"/>
          <w:lang w:val="en-US"/>
        </w:rPr>
        <w:t>169-294</w:t>
      </w:r>
    </w:p>
    <w:p w14:paraId="76A69579"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12337F5E" w14:textId="03DF6CC0" w:rsidR="00E42DC8" w:rsidRPr="00A1785C"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 xml:space="preserve">6. </w:t>
      </w:r>
      <w:r w:rsidRPr="00A1785C">
        <w:rPr>
          <w:rFonts w:ascii="Arial" w:hAnsi="Arial" w:cs="Arial"/>
          <w:noProof/>
          <w:sz w:val="24"/>
          <w:szCs w:val="24"/>
          <w:lang w:val="en-US"/>
        </w:rPr>
        <w:tab/>
        <w:t>G</w:t>
      </w:r>
      <w:r w:rsidR="00181E7C">
        <w:rPr>
          <w:rFonts w:ascii="Arial" w:hAnsi="Arial" w:cs="Arial"/>
          <w:noProof/>
          <w:sz w:val="24"/>
          <w:szCs w:val="24"/>
          <w:lang w:val="en-US"/>
        </w:rPr>
        <w:t>rade</w:t>
      </w:r>
      <w:r w:rsidRPr="00A1785C">
        <w:rPr>
          <w:rFonts w:ascii="Arial" w:hAnsi="Arial" w:cs="Arial"/>
          <w:noProof/>
          <w:sz w:val="24"/>
          <w:szCs w:val="24"/>
          <w:lang w:val="en-US"/>
        </w:rPr>
        <w:t xml:space="preserve"> Working Group. GRADE Handbook. Schünemann H, editor. 2015 </w:t>
      </w:r>
    </w:p>
    <w:p w14:paraId="5CA9F4F1" w14:textId="6FC14D0C"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 xml:space="preserve">7. </w:t>
      </w:r>
      <w:r w:rsidRPr="00A1785C">
        <w:rPr>
          <w:rFonts w:ascii="Arial" w:hAnsi="Arial" w:cs="Arial"/>
          <w:noProof/>
          <w:sz w:val="24"/>
          <w:szCs w:val="24"/>
          <w:lang w:val="en-US"/>
        </w:rPr>
        <w:tab/>
        <w:t>Page M J, McKenzie J E, Bossuyt P M, Boutron I, Hoffmann T C, Mulrow C D et al. The PRISMA 2020 statement: an updated guideline for reporting systematic reviews. BMJ.</w:t>
      </w:r>
      <w:r w:rsidRPr="00A1785C">
        <w:rPr>
          <w:rFonts w:ascii="Arial" w:hAnsi="Arial" w:cs="Arial"/>
          <w:i/>
          <w:iCs/>
          <w:noProof/>
          <w:sz w:val="24"/>
          <w:szCs w:val="24"/>
          <w:lang w:val="en-US"/>
        </w:rPr>
        <w:t> </w:t>
      </w:r>
      <w:r w:rsidRPr="00A1785C">
        <w:rPr>
          <w:rFonts w:ascii="Arial" w:hAnsi="Arial" w:cs="Arial"/>
          <w:noProof/>
          <w:sz w:val="24"/>
          <w:szCs w:val="24"/>
          <w:lang w:val="en-US"/>
        </w:rPr>
        <w:t>2021; 372:n71</w:t>
      </w:r>
    </w:p>
    <w:p w14:paraId="65B5BC91"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7F269970" w14:textId="08100695"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 xml:space="preserve">8. </w:t>
      </w:r>
      <w:r w:rsidRPr="00A1785C">
        <w:rPr>
          <w:rFonts w:ascii="Arial" w:hAnsi="Arial" w:cs="Arial"/>
          <w:noProof/>
          <w:sz w:val="24"/>
          <w:szCs w:val="24"/>
          <w:lang w:val="en-US"/>
        </w:rPr>
        <w:tab/>
        <w:t>National Cancer Institute. Common Terminology Criteria for Adverse Events (CTCAE). v5.0. Maryland. 2017</w:t>
      </w:r>
      <w:r w:rsidR="00720DAE">
        <w:rPr>
          <w:rFonts w:ascii="Arial" w:hAnsi="Arial" w:cs="Arial"/>
          <w:noProof/>
          <w:sz w:val="24"/>
          <w:szCs w:val="24"/>
          <w:lang w:val="en-US"/>
        </w:rPr>
        <w:t xml:space="preserve"> </w:t>
      </w:r>
    </w:p>
    <w:p w14:paraId="69D937ED"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06D9605E" w14:textId="4D4368F9"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sidRPr="00A1785C">
        <w:rPr>
          <w:rFonts w:ascii="Arial" w:hAnsi="Arial" w:cs="Arial"/>
          <w:noProof/>
          <w:sz w:val="24"/>
          <w:szCs w:val="24"/>
          <w:lang w:val="en-US"/>
        </w:rPr>
        <w:t xml:space="preserve">9. </w:t>
      </w:r>
      <w:r w:rsidRPr="00A1785C">
        <w:rPr>
          <w:rFonts w:ascii="Arial" w:hAnsi="Arial" w:cs="Arial"/>
          <w:noProof/>
          <w:sz w:val="24"/>
          <w:szCs w:val="24"/>
          <w:lang w:val="en-US"/>
        </w:rPr>
        <w:tab/>
      </w:r>
      <w:r w:rsidRPr="00136B88">
        <w:rPr>
          <w:rFonts w:ascii="Arial" w:hAnsi="Arial" w:cs="Arial"/>
          <w:color w:val="000000" w:themeColor="text1"/>
          <w:sz w:val="24"/>
          <w:szCs w:val="24"/>
          <w:shd w:val="clear" w:color="auto" w:fill="FFFFFF"/>
          <w:lang w:val="en-US"/>
        </w:rPr>
        <w:t>Ouzzani M, Hammady H, Fedorowicz Z, et al</w:t>
      </w:r>
      <w:r w:rsidRPr="00136B88">
        <w:rPr>
          <w:rFonts w:ascii="Arial" w:hAnsi="Arial" w:cs="Arial"/>
          <w:i/>
          <w:iCs/>
          <w:color w:val="000000" w:themeColor="text1"/>
          <w:sz w:val="24"/>
          <w:szCs w:val="24"/>
          <w:shd w:val="clear" w:color="auto" w:fill="FFFFFF"/>
          <w:lang w:val="en-US"/>
        </w:rPr>
        <w:t>.</w:t>
      </w:r>
      <w:r w:rsidRPr="00136B88">
        <w:rPr>
          <w:rFonts w:ascii="Arial" w:hAnsi="Arial" w:cs="Arial"/>
          <w:color w:val="000000" w:themeColor="text1"/>
          <w:sz w:val="24"/>
          <w:szCs w:val="24"/>
          <w:shd w:val="clear" w:color="auto" w:fill="FFFFFF"/>
          <w:lang w:val="en-US"/>
        </w:rPr>
        <w:t> Rayyan—a web and mobile app for systematic reviews. Syst Rev. 2016; 5</w:t>
      </w:r>
      <w:r w:rsidRPr="00136B88">
        <w:rPr>
          <w:rFonts w:ascii="Arial" w:hAnsi="Arial" w:cs="Arial"/>
          <w:b/>
          <w:bCs/>
          <w:color w:val="000000" w:themeColor="text1"/>
          <w:sz w:val="24"/>
          <w:szCs w:val="24"/>
          <w:shd w:val="clear" w:color="auto" w:fill="FFFFFF"/>
          <w:lang w:val="en-US"/>
        </w:rPr>
        <w:t>, </w:t>
      </w:r>
      <w:r w:rsidRPr="00136B88">
        <w:rPr>
          <w:rFonts w:ascii="Arial" w:hAnsi="Arial" w:cs="Arial"/>
          <w:color w:val="000000" w:themeColor="text1"/>
          <w:sz w:val="24"/>
          <w:szCs w:val="24"/>
          <w:shd w:val="clear" w:color="auto" w:fill="FFFFFF"/>
          <w:lang w:val="en-US"/>
        </w:rPr>
        <w:t xml:space="preserve">210 </w:t>
      </w:r>
    </w:p>
    <w:p w14:paraId="2E1EE52F" w14:textId="77777777" w:rsidR="00A85FAB" w:rsidRDefault="00A85FAB"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p>
    <w:p w14:paraId="59FD1C86" w14:textId="724B15E9" w:rsidR="005A473F" w:rsidRDefault="005A473F"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Pr>
          <w:rFonts w:ascii="Arial" w:hAnsi="Arial" w:cs="Arial"/>
          <w:color w:val="000000" w:themeColor="text1"/>
          <w:sz w:val="24"/>
          <w:szCs w:val="24"/>
          <w:shd w:val="clear" w:color="auto" w:fill="FFFFFF"/>
          <w:lang w:val="en-US"/>
        </w:rPr>
        <w:t xml:space="preserve">10.    </w:t>
      </w:r>
      <w:r w:rsidRPr="00A1785C">
        <w:rPr>
          <w:rFonts w:ascii="Arial" w:hAnsi="Arial" w:cs="Arial"/>
          <w:noProof/>
          <w:sz w:val="24"/>
          <w:szCs w:val="24"/>
          <w:lang w:val="en-US"/>
        </w:rPr>
        <w:t>Swindells S, Ramchandani R, Gupta A, Benson C, Leon J, Mwelase N, et al.</w:t>
      </w:r>
      <w:r w:rsidRPr="00A1785C">
        <w:rPr>
          <w:rFonts w:ascii="Arial" w:hAnsi="Arial" w:cs="Arial"/>
          <w:noProof/>
          <w:sz w:val="28"/>
          <w:szCs w:val="28"/>
          <w:lang w:val="en-US"/>
        </w:rPr>
        <w:t xml:space="preserve"> </w:t>
      </w:r>
      <w:r w:rsidRPr="00A1785C">
        <w:rPr>
          <w:rFonts w:ascii="Arial" w:hAnsi="Arial" w:cs="Arial"/>
          <w:sz w:val="24"/>
          <w:szCs w:val="24"/>
          <w:lang w:val="en-US"/>
        </w:rPr>
        <w:t>One Month of Rifapentine plus Isoniazid to Prevent HIV-Related Tuberculosis. N Engl J Med. 2019; 380:1001-11.</w:t>
      </w:r>
    </w:p>
    <w:p w14:paraId="459483AE"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5C52A13B" w14:textId="73129196"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1</w:t>
      </w:r>
      <w:r w:rsidR="005A473F">
        <w:rPr>
          <w:rFonts w:ascii="Arial" w:hAnsi="Arial" w:cs="Arial"/>
          <w:noProof/>
          <w:sz w:val="24"/>
          <w:szCs w:val="24"/>
          <w:lang w:val="en-US"/>
        </w:rPr>
        <w:t>1</w:t>
      </w:r>
      <w:r w:rsidRPr="00A1785C">
        <w:rPr>
          <w:rFonts w:ascii="Arial" w:hAnsi="Arial" w:cs="Arial"/>
          <w:noProof/>
          <w:sz w:val="24"/>
          <w:szCs w:val="24"/>
          <w:lang w:val="en-US"/>
        </w:rPr>
        <w:t xml:space="preserve">. </w:t>
      </w:r>
      <w:r w:rsidRPr="00A1785C">
        <w:rPr>
          <w:rFonts w:ascii="Arial" w:hAnsi="Arial" w:cs="Arial"/>
          <w:noProof/>
          <w:sz w:val="24"/>
          <w:szCs w:val="24"/>
          <w:lang w:val="en-US"/>
        </w:rPr>
        <w:tab/>
        <w:t>Sterne J, Savović J, Page M, Elbers R, Blencowe N, Boutron I, et al. RoB 2: a revised tool for assessing risk of bias in randomised trials. BMJ</w:t>
      </w:r>
      <w:r>
        <w:rPr>
          <w:rFonts w:ascii="Arial" w:hAnsi="Arial" w:cs="Arial"/>
          <w:noProof/>
          <w:sz w:val="24"/>
          <w:szCs w:val="24"/>
          <w:lang w:val="en-US"/>
        </w:rPr>
        <w:t>.</w:t>
      </w:r>
      <w:r w:rsidRPr="00A1785C">
        <w:rPr>
          <w:rFonts w:ascii="Arial" w:hAnsi="Arial" w:cs="Arial"/>
          <w:noProof/>
          <w:sz w:val="24"/>
          <w:szCs w:val="24"/>
          <w:lang w:val="en-US"/>
        </w:rPr>
        <w:t xml:space="preserve"> 2019</w:t>
      </w:r>
      <w:r>
        <w:rPr>
          <w:rFonts w:ascii="Arial" w:hAnsi="Arial" w:cs="Arial"/>
          <w:noProof/>
          <w:sz w:val="24"/>
          <w:szCs w:val="24"/>
          <w:lang w:val="en-US"/>
        </w:rPr>
        <w:t>;</w:t>
      </w:r>
      <w:r w:rsidRPr="00A1785C">
        <w:rPr>
          <w:lang w:val="en-US"/>
        </w:rPr>
        <w:t xml:space="preserve"> </w:t>
      </w:r>
      <w:r w:rsidRPr="00A1785C">
        <w:rPr>
          <w:rFonts w:ascii="Arial" w:hAnsi="Arial" w:cs="Arial"/>
          <w:noProof/>
          <w:sz w:val="24"/>
          <w:szCs w:val="24"/>
          <w:lang w:val="en-US"/>
        </w:rPr>
        <w:t>366:l4898</w:t>
      </w:r>
      <w:r w:rsidR="00A85FAB">
        <w:rPr>
          <w:rFonts w:ascii="Arial" w:hAnsi="Arial" w:cs="Arial"/>
          <w:noProof/>
          <w:sz w:val="24"/>
          <w:szCs w:val="24"/>
          <w:lang w:val="en-US"/>
        </w:rPr>
        <w:t>.</w:t>
      </w:r>
      <w:r w:rsidRPr="00A1785C">
        <w:rPr>
          <w:rFonts w:ascii="Arial" w:hAnsi="Arial" w:cs="Arial"/>
          <w:noProof/>
          <w:sz w:val="24"/>
          <w:szCs w:val="24"/>
          <w:lang w:val="en-US"/>
        </w:rPr>
        <w:t xml:space="preserve"> </w:t>
      </w:r>
    </w:p>
    <w:p w14:paraId="42A738E9"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69003F47" w14:textId="21862BA3"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1</w:t>
      </w:r>
      <w:r w:rsidR="005A473F">
        <w:rPr>
          <w:rFonts w:ascii="Arial" w:hAnsi="Arial" w:cs="Arial"/>
          <w:noProof/>
          <w:sz w:val="24"/>
          <w:szCs w:val="24"/>
          <w:lang w:val="en-US"/>
        </w:rPr>
        <w:t>2</w:t>
      </w:r>
      <w:r w:rsidRPr="00A1785C">
        <w:rPr>
          <w:rFonts w:ascii="Arial" w:hAnsi="Arial" w:cs="Arial"/>
          <w:noProof/>
          <w:sz w:val="24"/>
          <w:szCs w:val="24"/>
          <w:lang w:val="en-US"/>
        </w:rPr>
        <w:t xml:space="preserve">. </w:t>
      </w:r>
      <w:r w:rsidRPr="00A1785C">
        <w:rPr>
          <w:rFonts w:ascii="Arial" w:hAnsi="Arial" w:cs="Arial"/>
          <w:noProof/>
          <w:sz w:val="24"/>
          <w:szCs w:val="24"/>
          <w:lang w:val="en-US"/>
        </w:rPr>
        <w:tab/>
        <w:t>Higgins J, Thomas J, Chandler J, Cumpston M, Li T, Page M, et al. Cochrane Handbook for Systematic Reviews of Interventions. Version 6.2. Cochrane</w:t>
      </w:r>
      <w:r>
        <w:rPr>
          <w:rFonts w:ascii="Arial" w:hAnsi="Arial" w:cs="Arial"/>
          <w:noProof/>
          <w:sz w:val="24"/>
          <w:szCs w:val="24"/>
          <w:lang w:val="en-US"/>
        </w:rPr>
        <w:t>.</w:t>
      </w:r>
      <w:r w:rsidRPr="00A1785C">
        <w:rPr>
          <w:rFonts w:ascii="Arial" w:hAnsi="Arial" w:cs="Arial"/>
          <w:noProof/>
          <w:sz w:val="24"/>
          <w:szCs w:val="24"/>
          <w:lang w:val="en-US"/>
        </w:rPr>
        <w:t xml:space="preserve"> 2021.</w:t>
      </w:r>
      <w:r w:rsidR="00720DAE">
        <w:rPr>
          <w:rFonts w:ascii="Arial" w:hAnsi="Arial" w:cs="Arial"/>
          <w:noProof/>
          <w:sz w:val="24"/>
          <w:szCs w:val="24"/>
          <w:lang w:val="en-US"/>
        </w:rPr>
        <w:t xml:space="preserve"> </w:t>
      </w:r>
    </w:p>
    <w:p w14:paraId="3344D7AB"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498887BF" w14:textId="243F2CAC"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1</w:t>
      </w:r>
      <w:r w:rsidR="005A473F">
        <w:rPr>
          <w:rFonts w:ascii="Arial" w:hAnsi="Arial" w:cs="Arial"/>
          <w:noProof/>
          <w:sz w:val="24"/>
          <w:szCs w:val="24"/>
          <w:lang w:val="en-US"/>
        </w:rPr>
        <w:t>3</w:t>
      </w:r>
      <w:r w:rsidRPr="00A1785C">
        <w:rPr>
          <w:rFonts w:ascii="Arial" w:hAnsi="Arial" w:cs="Arial"/>
          <w:noProof/>
          <w:sz w:val="24"/>
          <w:szCs w:val="24"/>
          <w:lang w:val="en-US"/>
        </w:rPr>
        <w:t xml:space="preserve">. </w:t>
      </w:r>
      <w:r w:rsidRPr="00A1785C">
        <w:rPr>
          <w:rFonts w:ascii="Arial" w:hAnsi="Arial" w:cs="Arial"/>
          <w:noProof/>
          <w:sz w:val="24"/>
          <w:szCs w:val="24"/>
          <w:lang w:val="en-US"/>
        </w:rPr>
        <w:tab/>
        <w:t>Egger M, Smith G, Schneider M, Minder C. Bias in meta-analysis detected by a simple, graphical test. BMJ. 1997;315(7109):629–34.</w:t>
      </w:r>
    </w:p>
    <w:p w14:paraId="26A176C9"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15CC7505" w14:textId="1B56CE9E"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lang w:val="en-US"/>
        </w:rPr>
      </w:pPr>
      <w:r w:rsidRPr="00A1785C">
        <w:rPr>
          <w:rFonts w:ascii="Arial" w:hAnsi="Arial" w:cs="Arial"/>
          <w:noProof/>
          <w:sz w:val="24"/>
          <w:szCs w:val="24"/>
          <w:lang w:val="en-US"/>
        </w:rPr>
        <w:t>1</w:t>
      </w:r>
      <w:r w:rsidR="005A473F">
        <w:rPr>
          <w:rFonts w:ascii="Arial" w:hAnsi="Arial" w:cs="Arial"/>
          <w:noProof/>
          <w:sz w:val="24"/>
          <w:szCs w:val="24"/>
          <w:lang w:val="en-US"/>
        </w:rPr>
        <w:t>4</w:t>
      </w:r>
      <w:r w:rsidRPr="00A1785C">
        <w:rPr>
          <w:rFonts w:ascii="Arial" w:hAnsi="Arial" w:cs="Arial"/>
          <w:noProof/>
          <w:sz w:val="24"/>
          <w:szCs w:val="24"/>
          <w:lang w:val="en-US"/>
        </w:rPr>
        <w:t xml:space="preserve">. </w:t>
      </w:r>
      <w:r w:rsidRPr="00A1785C">
        <w:rPr>
          <w:rFonts w:ascii="Arial" w:hAnsi="Arial" w:cs="Arial"/>
          <w:noProof/>
          <w:sz w:val="24"/>
          <w:szCs w:val="24"/>
          <w:lang w:val="en-US"/>
        </w:rPr>
        <w:tab/>
      </w:r>
      <w:r w:rsidRPr="00A1785C">
        <w:rPr>
          <w:rFonts w:ascii="Arial" w:hAnsi="Arial" w:cs="Arial"/>
          <w:color w:val="000000" w:themeColor="text1"/>
          <w:sz w:val="24"/>
          <w:szCs w:val="24"/>
          <w:lang w:val="en-US"/>
        </w:rPr>
        <w:t>Borenstein M, Hedges L, Higgins J, Rothstein H. A basic introduction to fixed-effect and random-effects models for meta-analysis. Research Synthesis Methods</w:t>
      </w:r>
      <w:r>
        <w:rPr>
          <w:rFonts w:ascii="Arial" w:hAnsi="Arial" w:cs="Arial"/>
          <w:color w:val="000000" w:themeColor="text1"/>
          <w:sz w:val="24"/>
          <w:szCs w:val="24"/>
          <w:lang w:val="en-US"/>
        </w:rPr>
        <w:t>.</w:t>
      </w:r>
      <w:r w:rsidRPr="00A1785C">
        <w:rPr>
          <w:rFonts w:ascii="Arial" w:hAnsi="Arial" w:cs="Arial"/>
          <w:color w:val="000000" w:themeColor="text1"/>
          <w:sz w:val="24"/>
          <w:szCs w:val="24"/>
          <w:lang w:val="en-US"/>
        </w:rPr>
        <w:t> 2010; 1: 97-111.</w:t>
      </w:r>
    </w:p>
    <w:p w14:paraId="6C4155D1" w14:textId="77777777" w:rsidR="00A85FAB" w:rsidRPr="00136B88"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5FB1F0FE" w14:textId="2A6818DC"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rPr>
      </w:pPr>
      <w:r w:rsidRPr="00136B88">
        <w:rPr>
          <w:rFonts w:ascii="Arial" w:hAnsi="Arial" w:cs="Arial"/>
          <w:noProof/>
          <w:sz w:val="24"/>
          <w:szCs w:val="24"/>
          <w:lang w:val="en-US"/>
        </w:rPr>
        <w:lastRenderedPageBreak/>
        <w:t>1</w:t>
      </w:r>
      <w:r w:rsidR="005A473F">
        <w:rPr>
          <w:rFonts w:ascii="Arial" w:hAnsi="Arial" w:cs="Arial"/>
          <w:noProof/>
          <w:sz w:val="24"/>
          <w:szCs w:val="24"/>
          <w:lang w:val="en-US"/>
        </w:rPr>
        <w:t>5</w:t>
      </w:r>
      <w:r w:rsidRPr="00136B88">
        <w:rPr>
          <w:rFonts w:ascii="Arial" w:hAnsi="Arial" w:cs="Arial"/>
          <w:noProof/>
          <w:sz w:val="24"/>
          <w:szCs w:val="24"/>
          <w:lang w:val="en-US"/>
        </w:rPr>
        <w:t xml:space="preserve">. </w:t>
      </w:r>
      <w:r w:rsidRPr="00136B88">
        <w:rPr>
          <w:rFonts w:ascii="Arial" w:hAnsi="Arial" w:cs="Arial"/>
          <w:noProof/>
          <w:sz w:val="24"/>
          <w:szCs w:val="24"/>
          <w:lang w:val="en-US"/>
        </w:rPr>
        <w:tab/>
      </w:r>
      <w:r w:rsidRPr="00A1785C">
        <w:rPr>
          <w:rFonts w:ascii="Arial" w:hAnsi="Arial" w:cs="Arial"/>
          <w:color w:val="000000" w:themeColor="text1"/>
          <w:sz w:val="24"/>
          <w:szCs w:val="24"/>
          <w:lang w:val="en-US"/>
        </w:rPr>
        <w:t>Borenstein M, Higgins J. Meta-analysis and subgroups. </w:t>
      </w:r>
      <w:r w:rsidRPr="00212146">
        <w:rPr>
          <w:rFonts w:ascii="Arial" w:hAnsi="Arial" w:cs="Arial"/>
          <w:color w:val="000000" w:themeColor="text1"/>
          <w:sz w:val="24"/>
          <w:szCs w:val="24"/>
        </w:rPr>
        <w:t>Prev Sci</w:t>
      </w:r>
      <w:r>
        <w:rPr>
          <w:rFonts w:ascii="Arial" w:hAnsi="Arial" w:cs="Arial"/>
          <w:color w:val="000000" w:themeColor="text1"/>
          <w:sz w:val="24"/>
          <w:szCs w:val="24"/>
        </w:rPr>
        <w:t>.</w:t>
      </w:r>
      <w:r w:rsidRPr="00212146">
        <w:rPr>
          <w:rFonts w:ascii="Arial" w:hAnsi="Arial" w:cs="Arial"/>
          <w:color w:val="000000" w:themeColor="text1"/>
          <w:sz w:val="24"/>
          <w:szCs w:val="24"/>
        </w:rPr>
        <w:t> 2013; 14: 134-143.</w:t>
      </w:r>
    </w:p>
    <w:p w14:paraId="768E8304" w14:textId="77777777" w:rsidR="00A85FAB" w:rsidRPr="00136B88" w:rsidRDefault="00A85FAB" w:rsidP="00D8601A">
      <w:pPr>
        <w:widowControl w:val="0"/>
        <w:autoSpaceDE w:val="0"/>
        <w:autoSpaceDN w:val="0"/>
        <w:adjustRightInd w:val="0"/>
        <w:spacing w:after="0" w:line="240" w:lineRule="auto"/>
        <w:ind w:left="640" w:hanging="640"/>
        <w:jc w:val="both"/>
        <w:rPr>
          <w:rFonts w:ascii="Arial" w:hAnsi="Arial" w:cs="Arial"/>
          <w:noProof/>
          <w:sz w:val="28"/>
          <w:szCs w:val="28"/>
          <w:lang w:val="es-CO"/>
        </w:rPr>
      </w:pPr>
    </w:p>
    <w:p w14:paraId="4877389C" w14:textId="54451B26"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lang w:val="en-US"/>
        </w:rPr>
      </w:pPr>
      <w:r w:rsidRPr="00136B88">
        <w:rPr>
          <w:rFonts w:ascii="Arial" w:hAnsi="Arial" w:cs="Arial"/>
          <w:noProof/>
          <w:sz w:val="24"/>
          <w:szCs w:val="24"/>
          <w:lang w:val="es-CO"/>
        </w:rPr>
        <w:t>1</w:t>
      </w:r>
      <w:r w:rsidR="005A473F">
        <w:rPr>
          <w:rFonts w:ascii="Arial" w:hAnsi="Arial" w:cs="Arial"/>
          <w:noProof/>
          <w:sz w:val="24"/>
          <w:szCs w:val="24"/>
          <w:lang w:val="es-CO"/>
        </w:rPr>
        <w:t>6</w:t>
      </w:r>
      <w:r w:rsidRPr="00136B88">
        <w:rPr>
          <w:rFonts w:ascii="Arial" w:hAnsi="Arial" w:cs="Arial"/>
          <w:noProof/>
          <w:sz w:val="24"/>
          <w:szCs w:val="24"/>
          <w:lang w:val="es-CO"/>
        </w:rPr>
        <w:t xml:space="preserve">. </w:t>
      </w:r>
      <w:r w:rsidRPr="00136B88">
        <w:rPr>
          <w:rFonts w:ascii="Arial" w:hAnsi="Arial" w:cs="Arial"/>
          <w:noProof/>
          <w:sz w:val="24"/>
          <w:szCs w:val="24"/>
          <w:lang w:val="es-CO"/>
        </w:rPr>
        <w:tab/>
      </w:r>
      <w:r w:rsidRPr="0042673D">
        <w:rPr>
          <w:rFonts w:ascii="Arial" w:hAnsi="Arial" w:cs="Arial"/>
          <w:color w:val="000000" w:themeColor="text1"/>
          <w:sz w:val="24"/>
          <w:szCs w:val="24"/>
        </w:rPr>
        <w:t>Thompson S, Higgins J. ¿Cómo deben realizarse e interpretarse los análisis de metarregresión? </w:t>
      </w:r>
      <w:r w:rsidRPr="00A1785C">
        <w:rPr>
          <w:rFonts w:ascii="Arial" w:hAnsi="Arial" w:cs="Arial"/>
          <w:color w:val="000000" w:themeColor="text1"/>
          <w:sz w:val="24"/>
          <w:szCs w:val="24"/>
          <w:lang w:val="en-US"/>
        </w:rPr>
        <w:t>Statistics in Medicine</w:t>
      </w:r>
      <w:r>
        <w:rPr>
          <w:rFonts w:ascii="Arial" w:hAnsi="Arial" w:cs="Arial"/>
          <w:color w:val="000000" w:themeColor="text1"/>
          <w:sz w:val="24"/>
          <w:szCs w:val="24"/>
          <w:lang w:val="en-US"/>
        </w:rPr>
        <w:t>.</w:t>
      </w:r>
      <w:r w:rsidRPr="00A1785C">
        <w:rPr>
          <w:rFonts w:ascii="Arial" w:hAnsi="Arial" w:cs="Arial"/>
          <w:color w:val="000000" w:themeColor="text1"/>
          <w:sz w:val="24"/>
          <w:szCs w:val="24"/>
          <w:lang w:val="en-US"/>
        </w:rPr>
        <w:t> 2002; 21: 1559-1574.</w:t>
      </w:r>
    </w:p>
    <w:p w14:paraId="7A2F73D1" w14:textId="77777777" w:rsidR="00A85FAB" w:rsidRPr="005A622A" w:rsidRDefault="00A85FAB" w:rsidP="00D8601A">
      <w:pPr>
        <w:widowControl w:val="0"/>
        <w:autoSpaceDE w:val="0"/>
        <w:autoSpaceDN w:val="0"/>
        <w:adjustRightInd w:val="0"/>
        <w:spacing w:after="0" w:line="240" w:lineRule="auto"/>
        <w:ind w:left="640" w:hanging="640"/>
        <w:jc w:val="both"/>
        <w:rPr>
          <w:rFonts w:ascii="Arial" w:hAnsi="Arial" w:cs="Arial"/>
          <w:noProof/>
          <w:sz w:val="28"/>
          <w:szCs w:val="28"/>
          <w:lang w:val="en-US"/>
        </w:rPr>
      </w:pPr>
    </w:p>
    <w:p w14:paraId="20C38793" w14:textId="097B122A"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sidRPr="00A1785C">
        <w:rPr>
          <w:rFonts w:ascii="Arial" w:hAnsi="Arial" w:cs="Arial"/>
          <w:noProof/>
          <w:sz w:val="24"/>
          <w:szCs w:val="24"/>
          <w:lang w:val="en-US"/>
        </w:rPr>
        <w:t>1</w:t>
      </w:r>
      <w:r w:rsidR="005A473F">
        <w:rPr>
          <w:rFonts w:ascii="Arial" w:hAnsi="Arial" w:cs="Arial"/>
          <w:noProof/>
          <w:sz w:val="24"/>
          <w:szCs w:val="24"/>
          <w:lang w:val="en-US"/>
        </w:rPr>
        <w:t>7</w:t>
      </w:r>
      <w:r w:rsidRPr="00A1785C">
        <w:rPr>
          <w:rFonts w:ascii="Arial" w:hAnsi="Arial" w:cs="Arial"/>
          <w:noProof/>
          <w:sz w:val="24"/>
          <w:szCs w:val="24"/>
          <w:lang w:val="en-US"/>
        </w:rPr>
        <w:t xml:space="preserve">. </w:t>
      </w:r>
      <w:r w:rsidRPr="00A1785C">
        <w:rPr>
          <w:rFonts w:ascii="Arial" w:hAnsi="Arial" w:cs="Arial"/>
          <w:noProof/>
          <w:sz w:val="24"/>
          <w:szCs w:val="24"/>
          <w:lang w:val="en-US"/>
        </w:rPr>
        <w:tab/>
        <w:t xml:space="preserve">Sterling T, Villarino E, Borisov A, Shang N, et al. Three months of rifapentine and isoniazid for latent tuberculosis infection. </w:t>
      </w:r>
      <w:r w:rsidRPr="00A1785C">
        <w:rPr>
          <w:rFonts w:ascii="Arial" w:hAnsi="Arial" w:cs="Arial"/>
          <w:sz w:val="24"/>
          <w:szCs w:val="24"/>
          <w:lang w:val="en-US"/>
        </w:rPr>
        <w:t>AIDS. 2016; 30(10): 1607–1615.</w:t>
      </w:r>
    </w:p>
    <w:p w14:paraId="517484D6"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6D21E8B1" w14:textId="7E18ECB1"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sidRPr="00A1785C">
        <w:rPr>
          <w:rFonts w:ascii="Arial" w:hAnsi="Arial" w:cs="Arial"/>
          <w:noProof/>
          <w:sz w:val="24"/>
          <w:szCs w:val="24"/>
          <w:lang w:val="en-US"/>
        </w:rPr>
        <w:t xml:space="preserve">18. </w:t>
      </w:r>
      <w:r w:rsidRPr="00A1785C">
        <w:rPr>
          <w:rFonts w:ascii="Arial" w:hAnsi="Arial" w:cs="Arial"/>
          <w:noProof/>
          <w:sz w:val="24"/>
          <w:szCs w:val="24"/>
          <w:lang w:val="en-US"/>
        </w:rPr>
        <w:tab/>
        <w:t>Martinson N, Barnes G, Moulton L, Msandiwa R, et al.</w:t>
      </w:r>
      <w:r w:rsidRPr="00A1785C">
        <w:rPr>
          <w:rFonts w:ascii="Arial" w:hAnsi="Arial" w:cs="Arial"/>
          <w:noProof/>
          <w:sz w:val="28"/>
          <w:szCs w:val="28"/>
          <w:lang w:val="en-US"/>
        </w:rPr>
        <w:t xml:space="preserve"> </w:t>
      </w:r>
      <w:r w:rsidRPr="00A1785C">
        <w:rPr>
          <w:rFonts w:ascii="Arial" w:hAnsi="Arial" w:cs="Arial"/>
          <w:sz w:val="24"/>
          <w:szCs w:val="24"/>
          <w:lang w:val="en-US"/>
        </w:rPr>
        <w:t>New Regimens to Prevent Tuberculosis in Adults with HIV Infection.</w:t>
      </w:r>
      <w:r w:rsidRPr="00A1785C">
        <w:rPr>
          <w:lang w:val="en-US"/>
        </w:rPr>
        <w:t xml:space="preserve"> </w:t>
      </w:r>
      <w:r w:rsidRPr="00A1785C">
        <w:rPr>
          <w:rFonts w:ascii="Arial" w:hAnsi="Arial" w:cs="Arial"/>
          <w:sz w:val="24"/>
          <w:szCs w:val="24"/>
          <w:lang w:val="en-US"/>
        </w:rPr>
        <w:t>N Engl J Med. 2011; 365 (1):11-20.</w:t>
      </w:r>
    </w:p>
    <w:p w14:paraId="1D3D322C"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48E8B28E" w14:textId="4052B4DE"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sidRPr="00A1785C">
        <w:rPr>
          <w:rFonts w:ascii="Arial" w:hAnsi="Arial" w:cs="Arial"/>
          <w:noProof/>
          <w:sz w:val="24"/>
          <w:szCs w:val="24"/>
          <w:lang w:val="en-US"/>
        </w:rPr>
        <w:t xml:space="preserve">19. </w:t>
      </w:r>
      <w:r w:rsidRPr="00A1785C">
        <w:rPr>
          <w:rFonts w:ascii="Arial" w:hAnsi="Arial" w:cs="Arial"/>
          <w:noProof/>
          <w:sz w:val="24"/>
          <w:szCs w:val="24"/>
          <w:lang w:val="en-US"/>
        </w:rPr>
        <w:tab/>
      </w:r>
      <w:r w:rsidRPr="00A1785C">
        <w:rPr>
          <w:rFonts w:ascii="Arial" w:hAnsi="Arial" w:cs="Arial"/>
          <w:sz w:val="24"/>
          <w:szCs w:val="24"/>
          <w:lang w:val="en-US"/>
        </w:rPr>
        <w:t>Chen Y, Liao T, Chen H, Chen D. Three months of once-weekly isoniazid plus rifapentine (3HP) in treating latent tuberculosis infection is feasible in patients with rheumatoid arthritis</w:t>
      </w:r>
      <w:r w:rsidRPr="00A1785C">
        <w:rPr>
          <w:lang w:val="en-US"/>
        </w:rPr>
        <w:t>.</w:t>
      </w:r>
      <w:r w:rsidRPr="00A1785C">
        <w:rPr>
          <w:rFonts w:ascii="Arial" w:hAnsi="Arial" w:cs="Arial"/>
          <w:sz w:val="24"/>
          <w:szCs w:val="24"/>
          <w:lang w:val="en-US"/>
        </w:rPr>
        <w:t xml:space="preserve"> Ann Rheum Dis. 2018; 0:1–2</w:t>
      </w:r>
      <w:r w:rsidR="00A85FAB">
        <w:rPr>
          <w:rFonts w:ascii="Arial" w:hAnsi="Arial" w:cs="Arial"/>
          <w:sz w:val="24"/>
          <w:szCs w:val="24"/>
          <w:lang w:val="en-US"/>
        </w:rPr>
        <w:t>.</w:t>
      </w:r>
    </w:p>
    <w:p w14:paraId="3FF16DCF"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2216CCED" w14:textId="2C0E6AC7"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sidRPr="00A1785C">
        <w:rPr>
          <w:rFonts w:ascii="Arial" w:hAnsi="Arial" w:cs="Arial"/>
          <w:noProof/>
          <w:sz w:val="24"/>
          <w:szCs w:val="24"/>
          <w:lang w:val="en-US"/>
        </w:rPr>
        <w:t xml:space="preserve">20. </w:t>
      </w:r>
      <w:r w:rsidRPr="00A1785C">
        <w:rPr>
          <w:rFonts w:ascii="Arial" w:hAnsi="Arial" w:cs="Arial"/>
          <w:noProof/>
          <w:sz w:val="24"/>
          <w:szCs w:val="24"/>
          <w:lang w:val="en-US"/>
        </w:rPr>
        <w:tab/>
        <w:t xml:space="preserve">Huang H, Huang W, Lin K, Liu S, Lee M, Cheng M, et al. </w:t>
      </w:r>
      <w:r w:rsidRPr="00A1785C">
        <w:rPr>
          <w:rFonts w:ascii="Arial" w:hAnsi="Arial" w:cs="Arial"/>
          <w:color w:val="000000" w:themeColor="text1"/>
          <w:sz w:val="24"/>
          <w:szCs w:val="24"/>
          <w:shd w:val="clear" w:color="auto" w:fill="FFFFFF"/>
          <w:lang w:val="en-US"/>
        </w:rPr>
        <w:t>Completion Rate and Safety of Programmatic Screening and Treatment for Latent Tuberculosis Infection in Elderly Patients with Poorly Controlled Diabetic Mellitus: A Prospective Multicenter Study. Clin Infect Dis. 2021; ciab209.</w:t>
      </w:r>
    </w:p>
    <w:p w14:paraId="40232032"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5FC063AE" w14:textId="1E96F815"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8"/>
          <w:szCs w:val="28"/>
          <w:lang w:val="en-US"/>
        </w:rPr>
      </w:pPr>
      <w:r w:rsidRPr="00A1785C">
        <w:rPr>
          <w:rFonts w:ascii="Arial" w:hAnsi="Arial" w:cs="Arial"/>
          <w:noProof/>
          <w:sz w:val="24"/>
          <w:szCs w:val="24"/>
          <w:lang w:val="en-US"/>
        </w:rPr>
        <w:t xml:space="preserve">21. </w:t>
      </w:r>
      <w:r w:rsidRPr="00A1785C">
        <w:rPr>
          <w:rFonts w:ascii="Arial" w:hAnsi="Arial" w:cs="Arial"/>
          <w:noProof/>
          <w:sz w:val="24"/>
          <w:szCs w:val="24"/>
          <w:lang w:val="en-US"/>
        </w:rPr>
        <w:tab/>
        <w:t>Lin S, Feng J, Lee C, Lin Y, Chou Y, Lin K, et al.</w:t>
      </w:r>
      <w:r w:rsidRPr="00A1785C">
        <w:rPr>
          <w:rFonts w:ascii="Arial" w:hAnsi="Arial" w:cs="Arial"/>
          <w:sz w:val="24"/>
          <w:szCs w:val="24"/>
          <w:lang w:val="en-US"/>
        </w:rPr>
        <w:t xml:space="preserve"> Completion and adverse drug events of latent tuberculosis infection treatment in patients receiving dialysis: predictors and impacts of different regimens in a prospective cohort study. Antimicrob Agents Chemother. 2021; 65: e02184-20.</w:t>
      </w:r>
      <w:r w:rsidRPr="00A1785C">
        <w:rPr>
          <w:rFonts w:ascii="Arial" w:hAnsi="Arial" w:cs="Arial"/>
          <w:noProof/>
          <w:sz w:val="28"/>
          <w:szCs w:val="28"/>
          <w:lang w:val="en-US"/>
        </w:rPr>
        <w:t xml:space="preserve"> </w:t>
      </w:r>
    </w:p>
    <w:p w14:paraId="20B7EFE8"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769E05E1" w14:textId="77777777" w:rsidR="00A85FAB"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szCs w:val="24"/>
          <w:lang w:val="en-US"/>
        </w:rPr>
        <w:t xml:space="preserve">22. </w:t>
      </w:r>
      <w:r w:rsidRPr="00A1785C">
        <w:rPr>
          <w:rFonts w:ascii="Arial" w:hAnsi="Arial" w:cs="Arial"/>
          <w:noProof/>
          <w:sz w:val="24"/>
          <w:szCs w:val="24"/>
          <w:lang w:val="en-US"/>
        </w:rPr>
        <w:tab/>
        <w:t>Stagg H, Zenner D, Harris R, Muñoz L, Lipman M, Abubakar I. Treatment of latent tuberculosis infection a network meta-analysis. Ann Intern Med. 2014;161(6):419–28</w:t>
      </w:r>
      <w:r w:rsidR="00A85FAB">
        <w:rPr>
          <w:rFonts w:ascii="Arial" w:hAnsi="Arial" w:cs="Arial"/>
          <w:noProof/>
          <w:sz w:val="24"/>
          <w:szCs w:val="24"/>
          <w:lang w:val="en-US"/>
        </w:rPr>
        <w:t>.</w:t>
      </w:r>
    </w:p>
    <w:p w14:paraId="72BD0444" w14:textId="59002BD2" w:rsidR="00E42DC8" w:rsidRPr="00A1785C" w:rsidRDefault="00720DAE" w:rsidP="00D8601A">
      <w:pPr>
        <w:widowControl w:val="0"/>
        <w:autoSpaceDE w:val="0"/>
        <w:autoSpaceDN w:val="0"/>
        <w:adjustRightInd w:val="0"/>
        <w:spacing w:after="0" w:line="240" w:lineRule="auto"/>
        <w:ind w:left="640" w:hanging="640"/>
        <w:jc w:val="both"/>
        <w:rPr>
          <w:rFonts w:ascii="Arial" w:hAnsi="Arial" w:cs="Arial"/>
          <w:noProof/>
          <w:color w:val="000000" w:themeColor="text1"/>
          <w:sz w:val="24"/>
          <w:szCs w:val="24"/>
          <w:lang w:val="en-US"/>
        </w:rPr>
      </w:pPr>
      <w:r>
        <w:rPr>
          <w:rFonts w:ascii="Arial" w:hAnsi="Arial" w:cs="Arial"/>
          <w:noProof/>
          <w:sz w:val="28"/>
          <w:szCs w:val="28"/>
          <w:lang w:val="en-US"/>
        </w:rPr>
        <w:t xml:space="preserve"> </w:t>
      </w:r>
    </w:p>
    <w:p w14:paraId="5859A0C9" w14:textId="27548CD7"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color w:val="000000" w:themeColor="text1"/>
          <w:sz w:val="24"/>
          <w:szCs w:val="24"/>
          <w:lang w:val="en-US"/>
        </w:rPr>
        <w:t>23.</w:t>
      </w:r>
      <w:r w:rsidR="00FF677D">
        <w:rPr>
          <w:rFonts w:ascii="Arial" w:hAnsi="Arial" w:cs="Arial"/>
          <w:noProof/>
          <w:color w:val="000000" w:themeColor="text1"/>
          <w:sz w:val="24"/>
          <w:szCs w:val="24"/>
          <w:lang w:val="en-US"/>
        </w:rPr>
        <w:t xml:space="preserve">    </w:t>
      </w:r>
      <w:r w:rsidRPr="00A1785C">
        <w:rPr>
          <w:rFonts w:ascii="Arial" w:hAnsi="Arial" w:cs="Arial"/>
          <w:noProof/>
          <w:sz w:val="24"/>
          <w:szCs w:val="24"/>
          <w:lang w:val="en-US"/>
        </w:rPr>
        <w:t>Zenner D, Beer N, Harris R, Lipman M, Stagg H, van der Werf M. Treatment of latent tuberculosis infection: An updated network meta-analysis. Ann Intern Med. 2017;167(4):248–55.</w:t>
      </w:r>
    </w:p>
    <w:p w14:paraId="71ABD092"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p>
    <w:p w14:paraId="017A1112" w14:textId="6A39E4E4" w:rsidR="00E42DC8" w:rsidRDefault="00E42DC8" w:rsidP="00D8601A">
      <w:pPr>
        <w:widowControl w:val="0"/>
        <w:autoSpaceDE w:val="0"/>
        <w:autoSpaceDN w:val="0"/>
        <w:adjustRightInd w:val="0"/>
        <w:spacing w:after="0" w:line="240" w:lineRule="auto"/>
        <w:ind w:left="640" w:hanging="640"/>
        <w:jc w:val="both"/>
        <w:rPr>
          <w:rFonts w:ascii="Arial" w:hAnsi="Arial" w:cs="Arial"/>
          <w:noProof/>
          <w:sz w:val="24"/>
          <w:szCs w:val="24"/>
          <w:lang w:val="en-US"/>
        </w:rPr>
      </w:pPr>
      <w:r w:rsidRPr="00A1785C">
        <w:rPr>
          <w:rFonts w:ascii="Arial" w:hAnsi="Arial" w:cs="Arial"/>
          <w:noProof/>
          <w:sz w:val="24"/>
          <w:lang w:val="en-US"/>
        </w:rPr>
        <w:t>24.</w:t>
      </w:r>
      <w:r w:rsidR="00720DAE">
        <w:rPr>
          <w:rFonts w:ascii="Arial" w:hAnsi="Arial" w:cs="Arial"/>
          <w:noProof/>
          <w:sz w:val="24"/>
          <w:lang w:val="en-US"/>
        </w:rPr>
        <w:t xml:space="preserve"> </w:t>
      </w:r>
      <w:r w:rsidR="00FF677D">
        <w:rPr>
          <w:rFonts w:ascii="Arial" w:hAnsi="Arial" w:cs="Arial"/>
          <w:noProof/>
          <w:sz w:val="24"/>
          <w:lang w:val="en-US"/>
        </w:rPr>
        <w:t xml:space="preserve">  </w:t>
      </w:r>
      <w:r w:rsidRPr="00A1785C">
        <w:rPr>
          <w:rFonts w:ascii="Arial" w:hAnsi="Arial" w:cs="Arial"/>
          <w:noProof/>
          <w:sz w:val="24"/>
          <w:szCs w:val="24"/>
          <w:lang w:val="en-US"/>
        </w:rPr>
        <w:t>Pease C, Hutton B, Yazdi F, Wolfe D, Hamel C, Quach P, et al. Efficacy and completion rates of rifapentine and isoniazid (3HP) compared to other treatment regimens for latent tuberculosis infection: A systematic review with network meta-analyses. BMC Infect Dis. 2017; 17:265</w:t>
      </w:r>
      <w:r w:rsidR="00A85FAB">
        <w:rPr>
          <w:rFonts w:ascii="Arial" w:hAnsi="Arial" w:cs="Arial"/>
          <w:noProof/>
          <w:sz w:val="24"/>
          <w:szCs w:val="24"/>
          <w:lang w:val="en-US"/>
        </w:rPr>
        <w:t>.</w:t>
      </w:r>
    </w:p>
    <w:p w14:paraId="4A0EE195"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p>
    <w:p w14:paraId="42ED8F0B" w14:textId="32C32320"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sidRPr="00A1785C">
        <w:rPr>
          <w:rFonts w:ascii="Arial" w:hAnsi="Arial" w:cs="Arial"/>
          <w:color w:val="000000" w:themeColor="text1"/>
          <w:sz w:val="24"/>
          <w:szCs w:val="24"/>
          <w:shd w:val="clear" w:color="auto" w:fill="FFFFFF"/>
          <w:lang w:val="en-US"/>
        </w:rPr>
        <w:t>25.</w:t>
      </w:r>
      <w:r w:rsidR="00720DAE">
        <w:rPr>
          <w:rFonts w:ascii="Arial" w:hAnsi="Arial" w:cs="Arial"/>
          <w:color w:val="000000" w:themeColor="text1"/>
          <w:sz w:val="24"/>
          <w:szCs w:val="24"/>
          <w:shd w:val="clear" w:color="auto" w:fill="FFFFFF"/>
          <w:lang w:val="en-US"/>
        </w:rPr>
        <w:t xml:space="preserve"> </w:t>
      </w:r>
      <w:r w:rsidR="00FF677D">
        <w:rPr>
          <w:rFonts w:ascii="Arial" w:hAnsi="Arial" w:cs="Arial"/>
          <w:color w:val="000000" w:themeColor="text1"/>
          <w:sz w:val="24"/>
          <w:szCs w:val="24"/>
          <w:shd w:val="clear" w:color="auto" w:fill="FFFFFF"/>
          <w:lang w:val="en-US"/>
        </w:rPr>
        <w:t xml:space="preserve">   </w:t>
      </w:r>
      <w:r w:rsidRPr="00A1785C">
        <w:rPr>
          <w:rFonts w:ascii="Arial" w:hAnsi="Arial" w:cs="Arial"/>
          <w:sz w:val="24"/>
          <w:szCs w:val="24"/>
          <w:lang w:val="en-US"/>
        </w:rPr>
        <w:t>Gibril J, Morris S, Woodruff R, Moro R, Vernon A, Borisov A. Isoniazid-Rifapentine for Latent Tuberculosis Infection: A Systematic Review and Meta-analysis.</w:t>
      </w:r>
      <w:r w:rsidRPr="00A1785C">
        <w:rPr>
          <w:rFonts w:ascii="Arial" w:hAnsi="Arial" w:cs="Arial"/>
          <w:sz w:val="28"/>
          <w:szCs w:val="28"/>
          <w:lang w:val="en-US"/>
        </w:rPr>
        <w:t xml:space="preserve"> </w:t>
      </w:r>
      <w:r w:rsidRPr="00A1785C">
        <w:rPr>
          <w:rFonts w:ascii="Arial" w:hAnsi="Arial" w:cs="Arial"/>
          <w:sz w:val="24"/>
          <w:szCs w:val="24"/>
          <w:lang w:val="en-US"/>
        </w:rPr>
        <w:t xml:space="preserve">Am J Prev Med. 2018; 55(2): 244–252. </w:t>
      </w:r>
    </w:p>
    <w:p w14:paraId="03275713"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p>
    <w:p w14:paraId="2E9578FB" w14:textId="4D889266" w:rsidR="00E42DC8" w:rsidRPr="00A1785C"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sidRPr="00A1785C">
        <w:rPr>
          <w:rFonts w:ascii="Arial" w:hAnsi="Arial" w:cs="Arial"/>
          <w:color w:val="000000" w:themeColor="text1"/>
          <w:sz w:val="24"/>
          <w:szCs w:val="24"/>
          <w:shd w:val="clear" w:color="auto" w:fill="FFFFFF"/>
          <w:lang w:val="en-US"/>
        </w:rPr>
        <w:t>26.</w:t>
      </w:r>
      <w:r w:rsidR="00720DAE">
        <w:rPr>
          <w:rFonts w:ascii="Arial" w:hAnsi="Arial" w:cs="Arial"/>
          <w:color w:val="000000" w:themeColor="text1"/>
          <w:sz w:val="24"/>
          <w:szCs w:val="24"/>
          <w:shd w:val="clear" w:color="auto" w:fill="FFFFFF"/>
          <w:lang w:val="en-US"/>
        </w:rPr>
        <w:t xml:space="preserve"> </w:t>
      </w:r>
      <w:r w:rsidR="00FF677D">
        <w:rPr>
          <w:rFonts w:ascii="Arial" w:hAnsi="Arial" w:cs="Arial"/>
          <w:color w:val="000000" w:themeColor="text1"/>
          <w:sz w:val="24"/>
          <w:szCs w:val="24"/>
          <w:shd w:val="clear" w:color="auto" w:fill="FFFFFF"/>
          <w:lang w:val="en-US"/>
        </w:rPr>
        <w:t xml:space="preserve"> </w:t>
      </w:r>
      <w:r w:rsidRPr="00163836">
        <w:rPr>
          <w:rFonts w:ascii="Arial" w:hAnsi="Arial" w:cs="Arial"/>
          <w:color w:val="000000" w:themeColor="text1"/>
          <w:sz w:val="24"/>
          <w:szCs w:val="24"/>
          <w:shd w:val="clear" w:color="auto" w:fill="FFFFFF"/>
          <w:lang w:val="en-US"/>
        </w:rPr>
        <w:t>Burman W, Gallicano K, Peloquin C. Comparative pharmacokinetics and pharmacodynamics of the rifamycin antibacterials. Clin Pharmacokinet. 2001;40(5):327-41.</w:t>
      </w:r>
    </w:p>
    <w:p w14:paraId="374F0E46" w14:textId="17441C37"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sidRPr="00A1785C">
        <w:rPr>
          <w:rFonts w:ascii="Arial" w:hAnsi="Arial" w:cs="Arial"/>
          <w:color w:val="000000" w:themeColor="text1"/>
          <w:sz w:val="24"/>
          <w:szCs w:val="24"/>
          <w:shd w:val="clear" w:color="auto" w:fill="FFFFFF"/>
          <w:lang w:val="en-US"/>
        </w:rPr>
        <w:lastRenderedPageBreak/>
        <w:t>27.</w:t>
      </w:r>
      <w:r w:rsidR="00720DAE">
        <w:rPr>
          <w:rFonts w:ascii="Arial" w:hAnsi="Arial" w:cs="Arial"/>
          <w:color w:val="000000" w:themeColor="text1"/>
          <w:sz w:val="24"/>
          <w:szCs w:val="24"/>
          <w:shd w:val="clear" w:color="auto" w:fill="FFFFFF"/>
          <w:lang w:val="en-US"/>
        </w:rPr>
        <w:t xml:space="preserve"> </w:t>
      </w:r>
      <w:r w:rsidR="00FF677D">
        <w:rPr>
          <w:rFonts w:ascii="Arial" w:hAnsi="Arial" w:cs="Arial"/>
          <w:color w:val="000000" w:themeColor="text1"/>
          <w:sz w:val="24"/>
          <w:szCs w:val="24"/>
          <w:shd w:val="clear" w:color="auto" w:fill="FFFFFF"/>
          <w:lang w:val="en-US"/>
        </w:rPr>
        <w:t xml:space="preserve">    </w:t>
      </w:r>
      <w:r w:rsidRPr="00136B88">
        <w:rPr>
          <w:rFonts w:ascii="Arial" w:hAnsi="Arial" w:cs="Arial"/>
          <w:sz w:val="24"/>
          <w:szCs w:val="24"/>
          <w:lang w:val="en-US"/>
        </w:rPr>
        <w:t>Yew W, Leung C. Antituberculosis drugs and hepatotoxicity. Respirology. 2006; 11: 699-707.</w:t>
      </w:r>
      <w:r>
        <w:rPr>
          <w:rFonts w:ascii="Arial" w:hAnsi="Arial" w:cs="Arial"/>
          <w:color w:val="000000" w:themeColor="text1"/>
          <w:sz w:val="24"/>
          <w:szCs w:val="24"/>
          <w:shd w:val="clear" w:color="auto" w:fill="FFFFFF"/>
          <w:lang w:val="en-US"/>
        </w:rPr>
        <w:t xml:space="preserve"> </w:t>
      </w:r>
      <w:r w:rsidR="006A4BC8">
        <w:rPr>
          <w:rFonts w:ascii="Arial" w:hAnsi="Arial" w:cs="Arial"/>
          <w:color w:val="000000" w:themeColor="text1"/>
          <w:sz w:val="24"/>
          <w:szCs w:val="24"/>
          <w:shd w:val="clear" w:color="auto" w:fill="FFFFFF"/>
          <w:lang w:val="en-US"/>
        </w:rPr>
        <w:t xml:space="preserve"> </w:t>
      </w:r>
    </w:p>
    <w:p w14:paraId="2AFB392F" w14:textId="77777777" w:rsidR="00A85FAB" w:rsidRDefault="00A85FAB"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p>
    <w:p w14:paraId="5689010D" w14:textId="02CD8A55" w:rsidR="006A4BC8" w:rsidRDefault="006A4BC8" w:rsidP="00D8601A">
      <w:pPr>
        <w:widowControl w:val="0"/>
        <w:autoSpaceDE w:val="0"/>
        <w:autoSpaceDN w:val="0"/>
        <w:adjustRightInd w:val="0"/>
        <w:spacing w:after="0" w:line="240" w:lineRule="auto"/>
        <w:ind w:left="640" w:hanging="640"/>
        <w:jc w:val="both"/>
        <w:rPr>
          <w:rFonts w:ascii="Arial" w:hAnsi="Arial" w:cs="Arial"/>
          <w:color w:val="000000" w:themeColor="text1"/>
          <w:sz w:val="28"/>
          <w:szCs w:val="28"/>
          <w:shd w:val="clear" w:color="auto" w:fill="FFFFFF"/>
          <w:lang w:val="en-US"/>
        </w:rPr>
      </w:pPr>
      <w:r>
        <w:rPr>
          <w:rFonts w:ascii="Arial" w:hAnsi="Arial" w:cs="Arial"/>
          <w:color w:val="000000" w:themeColor="text1"/>
          <w:sz w:val="24"/>
          <w:szCs w:val="24"/>
          <w:shd w:val="clear" w:color="auto" w:fill="FFFFFF"/>
          <w:lang w:val="en-US"/>
        </w:rPr>
        <w:t>28.   Lin S, Chiu Y, Lu P, Hwang S, Chen T, et al.</w:t>
      </w:r>
      <w:r w:rsidRPr="007D2683">
        <w:rPr>
          <w:rFonts w:ascii="Arial" w:hAnsi="Arial" w:cs="Arial"/>
          <w:sz w:val="24"/>
          <w:szCs w:val="24"/>
          <w:lang w:val="en-US"/>
        </w:rPr>
        <w:t xml:space="preserve"> Three months of rifapentine and isoniazid for latent tuberculosis infection in hemodialysis patients: High rates of adverse events</w:t>
      </w:r>
      <w:r w:rsidR="009D65B2" w:rsidRPr="007D2683">
        <w:rPr>
          <w:rFonts w:ascii="Arial" w:hAnsi="Arial" w:cs="Arial"/>
          <w:sz w:val="24"/>
          <w:szCs w:val="24"/>
          <w:lang w:val="en-US"/>
        </w:rPr>
        <w:t>. Journal of Microbiology, Inmunology and Infection. 2019; 52,158-162.</w:t>
      </w:r>
      <w:r w:rsidRPr="006A4BC8">
        <w:rPr>
          <w:rFonts w:ascii="Arial" w:hAnsi="Arial" w:cs="Arial"/>
          <w:color w:val="000000" w:themeColor="text1"/>
          <w:sz w:val="28"/>
          <w:szCs w:val="28"/>
          <w:shd w:val="clear" w:color="auto" w:fill="FFFFFF"/>
          <w:lang w:val="en-US"/>
        </w:rPr>
        <w:t xml:space="preserve"> </w:t>
      </w:r>
    </w:p>
    <w:p w14:paraId="22409295" w14:textId="77777777" w:rsidR="00A85FAB" w:rsidRPr="00A1785C" w:rsidRDefault="00A85FAB"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p>
    <w:p w14:paraId="6EE36C24" w14:textId="2A4CFA00"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sidRPr="00A1785C">
        <w:rPr>
          <w:rFonts w:ascii="Arial" w:hAnsi="Arial" w:cs="Arial"/>
          <w:color w:val="000000" w:themeColor="text1"/>
          <w:sz w:val="24"/>
          <w:szCs w:val="24"/>
          <w:shd w:val="clear" w:color="auto" w:fill="FFFFFF"/>
          <w:lang w:val="en-US"/>
        </w:rPr>
        <w:t>2</w:t>
      </w:r>
      <w:r w:rsidR="004B663E">
        <w:rPr>
          <w:rFonts w:ascii="Arial" w:hAnsi="Arial" w:cs="Arial"/>
          <w:color w:val="000000" w:themeColor="text1"/>
          <w:sz w:val="24"/>
          <w:szCs w:val="24"/>
          <w:shd w:val="clear" w:color="auto" w:fill="FFFFFF"/>
          <w:lang w:val="en-US"/>
        </w:rPr>
        <w:t>9</w:t>
      </w:r>
      <w:r w:rsidRPr="00A1785C">
        <w:rPr>
          <w:rFonts w:ascii="Arial" w:hAnsi="Arial" w:cs="Arial"/>
          <w:color w:val="000000" w:themeColor="text1"/>
          <w:sz w:val="24"/>
          <w:szCs w:val="24"/>
          <w:shd w:val="clear" w:color="auto" w:fill="FFFFFF"/>
          <w:lang w:val="en-US"/>
        </w:rPr>
        <w:t>.</w:t>
      </w:r>
      <w:r w:rsidR="00720DAE">
        <w:rPr>
          <w:rFonts w:ascii="Arial" w:hAnsi="Arial" w:cs="Arial"/>
          <w:color w:val="000000" w:themeColor="text1"/>
          <w:sz w:val="24"/>
          <w:szCs w:val="24"/>
          <w:shd w:val="clear" w:color="auto" w:fill="FFFFFF"/>
          <w:lang w:val="en-US"/>
        </w:rPr>
        <w:t xml:space="preserve"> </w:t>
      </w:r>
      <w:r w:rsidR="00FF677D">
        <w:rPr>
          <w:rFonts w:ascii="Arial" w:hAnsi="Arial" w:cs="Arial"/>
          <w:color w:val="000000" w:themeColor="text1"/>
          <w:sz w:val="24"/>
          <w:szCs w:val="24"/>
          <w:shd w:val="clear" w:color="auto" w:fill="FFFFFF"/>
          <w:lang w:val="en-US"/>
        </w:rPr>
        <w:t xml:space="preserve">   </w:t>
      </w:r>
      <w:r w:rsidRPr="00A1785C">
        <w:rPr>
          <w:rFonts w:ascii="Arial" w:hAnsi="Arial" w:cs="Arial"/>
          <w:sz w:val="24"/>
          <w:szCs w:val="24"/>
          <w:lang w:val="en-US"/>
        </w:rPr>
        <w:t>Zhang T, Zhang M, Rosenthal I, Grosset J, Nuermberger E. Short-course therapy with daily rifapentine in a murine model of latent tuberculosis infection. Am J Respir Crit Care Med. 2009; 180:1151-7</w:t>
      </w:r>
      <w:r w:rsidR="00A85FAB">
        <w:rPr>
          <w:rFonts w:ascii="Arial" w:hAnsi="Arial" w:cs="Arial"/>
          <w:sz w:val="24"/>
          <w:szCs w:val="24"/>
          <w:lang w:val="en-US"/>
        </w:rPr>
        <w:t>.</w:t>
      </w:r>
    </w:p>
    <w:p w14:paraId="661F9848" w14:textId="77777777" w:rsidR="00A85FAB" w:rsidRPr="00136B88" w:rsidRDefault="00A85FAB" w:rsidP="00D8601A">
      <w:pPr>
        <w:widowControl w:val="0"/>
        <w:autoSpaceDE w:val="0"/>
        <w:autoSpaceDN w:val="0"/>
        <w:adjustRightInd w:val="0"/>
        <w:spacing w:after="0" w:line="240" w:lineRule="auto"/>
        <w:ind w:left="640" w:hanging="640"/>
        <w:jc w:val="both"/>
        <w:rPr>
          <w:rFonts w:ascii="Arial" w:hAnsi="Arial" w:cs="Arial"/>
          <w:sz w:val="24"/>
          <w:szCs w:val="24"/>
          <w:lang w:val="en-US"/>
        </w:rPr>
      </w:pPr>
    </w:p>
    <w:p w14:paraId="25B8A3AE" w14:textId="612F3E38" w:rsidR="00E42DC8" w:rsidRDefault="004B663E" w:rsidP="00D8601A">
      <w:pPr>
        <w:widowControl w:val="0"/>
        <w:autoSpaceDE w:val="0"/>
        <w:autoSpaceDN w:val="0"/>
        <w:adjustRightInd w:val="0"/>
        <w:spacing w:after="0" w:line="240" w:lineRule="auto"/>
        <w:ind w:left="640" w:hanging="640"/>
        <w:jc w:val="both"/>
        <w:rPr>
          <w:rFonts w:ascii="Arial" w:hAnsi="Arial" w:cs="Arial"/>
          <w:sz w:val="24"/>
          <w:szCs w:val="24"/>
          <w:lang w:val="en-US"/>
        </w:rPr>
      </w:pPr>
      <w:r>
        <w:rPr>
          <w:rFonts w:ascii="Arial" w:hAnsi="Arial" w:cs="Arial"/>
          <w:sz w:val="24"/>
          <w:szCs w:val="24"/>
          <w:lang w:val="en-US"/>
        </w:rPr>
        <w:t>30</w:t>
      </w:r>
      <w:r w:rsidR="00E42DC8" w:rsidRPr="00136B88">
        <w:rPr>
          <w:rFonts w:ascii="Arial" w:hAnsi="Arial" w:cs="Arial"/>
          <w:sz w:val="24"/>
          <w:szCs w:val="24"/>
          <w:lang w:val="en-US"/>
        </w:rPr>
        <w:t>.</w:t>
      </w:r>
      <w:r w:rsidR="00720DAE" w:rsidRPr="00136B88">
        <w:rPr>
          <w:rFonts w:ascii="Arial" w:hAnsi="Arial" w:cs="Arial"/>
          <w:sz w:val="24"/>
          <w:szCs w:val="24"/>
          <w:lang w:val="en-US"/>
        </w:rPr>
        <w:t xml:space="preserve"> </w:t>
      </w:r>
      <w:r w:rsidR="00FF677D" w:rsidRPr="00136B88">
        <w:rPr>
          <w:rFonts w:ascii="Arial" w:hAnsi="Arial" w:cs="Arial"/>
          <w:sz w:val="24"/>
          <w:szCs w:val="24"/>
          <w:lang w:val="en-US"/>
        </w:rPr>
        <w:t xml:space="preserve">     </w:t>
      </w:r>
      <w:r w:rsidR="00E42DC8" w:rsidRPr="00A1785C">
        <w:rPr>
          <w:rFonts w:ascii="Arial" w:hAnsi="Arial" w:cs="Arial"/>
          <w:sz w:val="24"/>
          <w:szCs w:val="24"/>
          <w:lang w:val="en-US"/>
        </w:rPr>
        <w:t>Akolo C, Adetifa I, Shepperd S, Volmink J. Treatment of latent tuberculosis infection in HIV infected persons. Cochrane Database Syst Rev. 2010;1</w:t>
      </w:r>
      <w:r w:rsidR="00A85FAB">
        <w:rPr>
          <w:rFonts w:ascii="Arial" w:hAnsi="Arial" w:cs="Arial"/>
          <w:sz w:val="24"/>
          <w:szCs w:val="24"/>
          <w:lang w:val="en-US"/>
        </w:rPr>
        <w:t>.</w:t>
      </w:r>
    </w:p>
    <w:p w14:paraId="6C72C9E0" w14:textId="77777777" w:rsidR="00A85FAB" w:rsidRPr="00136B88" w:rsidRDefault="00A85FAB" w:rsidP="00D8601A">
      <w:pPr>
        <w:widowControl w:val="0"/>
        <w:autoSpaceDE w:val="0"/>
        <w:autoSpaceDN w:val="0"/>
        <w:adjustRightInd w:val="0"/>
        <w:spacing w:after="0" w:line="240" w:lineRule="auto"/>
        <w:ind w:left="640" w:hanging="640"/>
        <w:jc w:val="both"/>
        <w:rPr>
          <w:rFonts w:ascii="Arial" w:hAnsi="Arial" w:cs="Arial"/>
          <w:sz w:val="24"/>
          <w:szCs w:val="24"/>
          <w:lang w:val="en-US"/>
        </w:rPr>
      </w:pPr>
    </w:p>
    <w:p w14:paraId="376C14C4" w14:textId="0AB786EC" w:rsidR="00E42DC8" w:rsidRDefault="00E42DC8"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sidRPr="00136B88">
        <w:rPr>
          <w:rFonts w:ascii="Arial" w:hAnsi="Arial" w:cs="Arial"/>
          <w:sz w:val="24"/>
          <w:szCs w:val="24"/>
          <w:lang w:val="en-US"/>
        </w:rPr>
        <w:t>3</w:t>
      </w:r>
      <w:r w:rsidR="004B663E">
        <w:rPr>
          <w:rFonts w:ascii="Arial" w:hAnsi="Arial" w:cs="Arial"/>
          <w:sz w:val="24"/>
          <w:szCs w:val="24"/>
          <w:lang w:val="en-US"/>
        </w:rPr>
        <w:t>1</w:t>
      </w:r>
      <w:r w:rsidRPr="00136B88">
        <w:rPr>
          <w:rFonts w:ascii="Arial" w:hAnsi="Arial" w:cs="Arial"/>
          <w:sz w:val="24"/>
          <w:szCs w:val="24"/>
          <w:lang w:val="en-US"/>
        </w:rPr>
        <w:t>.</w:t>
      </w:r>
      <w:r w:rsidR="00720DAE" w:rsidRPr="00136B88">
        <w:rPr>
          <w:rFonts w:ascii="Arial" w:hAnsi="Arial" w:cs="Arial"/>
          <w:sz w:val="24"/>
          <w:szCs w:val="24"/>
          <w:lang w:val="en-US"/>
        </w:rPr>
        <w:t xml:space="preserve"> </w:t>
      </w:r>
      <w:r w:rsidR="00FF677D" w:rsidRPr="00136B88">
        <w:rPr>
          <w:rFonts w:ascii="Arial" w:hAnsi="Arial" w:cs="Arial"/>
          <w:sz w:val="24"/>
          <w:szCs w:val="24"/>
          <w:lang w:val="en-US"/>
        </w:rPr>
        <w:t xml:space="preserve">   </w:t>
      </w:r>
      <w:r w:rsidRPr="00A1785C">
        <w:rPr>
          <w:rFonts w:ascii="Arial" w:hAnsi="Arial" w:cs="Arial"/>
          <w:color w:val="000000" w:themeColor="text1"/>
          <w:sz w:val="24"/>
          <w:szCs w:val="24"/>
          <w:shd w:val="clear" w:color="auto" w:fill="FFFFFF"/>
          <w:lang w:val="en-US"/>
        </w:rPr>
        <w:t>Thorlund K, Imberger G, Johnston B, Walsh M, Awad T, Thabane L, et al. Evolution of Heterogeneity (I</w:t>
      </w:r>
      <w:r w:rsidRPr="00A1785C">
        <w:rPr>
          <w:rFonts w:ascii="Arial" w:hAnsi="Arial" w:cs="Arial"/>
          <w:color w:val="000000" w:themeColor="text1"/>
          <w:sz w:val="24"/>
          <w:szCs w:val="24"/>
          <w:shd w:val="clear" w:color="auto" w:fill="FFFFFF"/>
          <w:vertAlign w:val="superscript"/>
          <w:lang w:val="en-US"/>
        </w:rPr>
        <w:t>2</w:t>
      </w:r>
      <w:r w:rsidRPr="00A1785C">
        <w:rPr>
          <w:rFonts w:ascii="Arial" w:hAnsi="Arial" w:cs="Arial"/>
          <w:color w:val="000000" w:themeColor="text1"/>
          <w:sz w:val="24"/>
          <w:szCs w:val="24"/>
          <w:shd w:val="clear" w:color="auto" w:fill="FFFFFF"/>
          <w:lang w:val="en-US"/>
        </w:rPr>
        <w:t>) Estimates and Their 95% Confidence Intervals in Large Meta-Analyses. PLoS ONE</w:t>
      </w:r>
      <w:r w:rsidR="006A4BC8">
        <w:rPr>
          <w:rFonts w:ascii="Arial" w:hAnsi="Arial" w:cs="Arial"/>
          <w:color w:val="000000" w:themeColor="text1"/>
          <w:sz w:val="24"/>
          <w:szCs w:val="24"/>
          <w:shd w:val="clear" w:color="auto" w:fill="FFFFFF"/>
          <w:lang w:val="en-US"/>
        </w:rPr>
        <w:t>. 2012;</w:t>
      </w:r>
      <w:r w:rsidRPr="00A1785C">
        <w:rPr>
          <w:rFonts w:ascii="Arial" w:hAnsi="Arial" w:cs="Arial"/>
          <w:color w:val="000000" w:themeColor="text1"/>
          <w:sz w:val="24"/>
          <w:szCs w:val="24"/>
          <w:shd w:val="clear" w:color="auto" w:fill="FFFFFF"/>
          <w:lang w:val="en-US"/>
        </w:rPr>
        <w:t xml:space="preserve"> 7(7): e39471.</w:t>
      </w:r>
    </w:p>
    <w:p w14:paraId="3DBFB89E" w14:textId="77777777" w:rsidR="00A85FAB" w:rsidRDefault="00A85FAB" w:rsidP="00D8601A">
      <w:pPr>
        <w:widowControl w:val="0"/>
        <w:autoSpaceDE w:val="0"/>
        <w:autoSpaceDN w:val="0"/>
        <w:adjustRightInd w:val="0"/>
        <w:spacing w:after="0" w:line="240" w:lineRule="auto"/>
        <w:ind w:left="640" w:hanging="640"/>
        <w:jc w:val="both"/>
        <w:rPr>
          <w:rFonts w:ascii="Arial" w:hAnsi="Arial" w:cs="Arial"/>
          <w:sz w:val="24"/>
          <w:szCs w:val="24"/>
          <w:lang w:val="en-US"/>
        </w:rPr>
      </w:pPr>
    </w:p>
    <w:p w14:paraId="486572C7" w14:textId="7F1A57AB" w:rsidR="00E42DC8" w:rsidRDefault="00E42DC8" w:rsidP="00D8601A">
      <w:pPr>
        <w:widowControl w:val="0"/>
        <w:autoSpaceDE w:val="0"/>
        <w:autoSpaceDN w:val="0"/>
        <w:adjustRightInd w:val="0"/>
        <w:spacing w:after="0" w:line="240" w:lineRule="auto"/>
        <w:ind w:left="640" w:hanging="640"/>
        <w:jc w:val="both"/>
        <w:rPr>
          <w:rFonts w:ascii="Arial" w:hAnsi="Arial" w:cs="Arial"/>
          <w:sz w:val="24"/>
          <w:szCs w:val="24"/>
        </w:rPr>
      </w:pPr>
      <w:r>
        <w:rPr>
          <w:rFonts w:ascii="Arial" w:hAnsi="Arial" w:cs="Arial"/>
          <w:sz w:val="24"/>
          <w:szCs w:val="24"/>
          <w:lang w:val="en-US"/>
        </w:rPr>
        <w:t>3</w:t>
      </w:r>
      <w:r w:rsidR="004B663E">
        <w:rPr>
          <w:rFonts w:ascii="Arial" w:hAnsi="Arial" w:cs="Arial"/>
          <w:sz w:val="24"/>
          <w:szCs w:val="24"/>
          <w:lang w:val="en-US"/>
        </w:rPr>
        <w:t>2</w:t>
      </w:r>
      <w:r>
        <w:rPr>
          <w:rFonts w:ascii="Arial" w:hAnsi="Arial" w:cs="Arial"/>
          <w:sz w:val="24"/>
          <w:szCs w:val="24"/>
          <w:lang w:val="en-US"/>
        </w:rPr>
        <w:t>.</w:t>
      </w:r>
      <w:r w:rsidR="00FF677D">
        <w:rPr>
          <w:rFonts w:ascii="Arial" w:hAnsi="Arial" w:cs="Arial"/>
          <w:sz w:val="24"/>
          <w:szCs w:val="24"/>
          <w:lang w:val="en-US"/>
        </w:rPr>
        <w:t xml:space="preserve">     </w:t>
      </w:r>
      <w:r w:rsidR="00720DAE">
        <w:rPr>
          <w:rFonts w:ascii="Arial" w:hAnsi="Arial" w:cs="Arial"/>
          <w:sz w:val="24"/>
          <w:szCs w:val="24"/>
          <w:lang w:val="en-US"/>
        </w:rPr>
        <w:t xml:space="preserve"> </w:t>
      </w:r>
      <w:r w:rsidRPr="00A1785C">
        <w:rPr>
          <w:rFonts w:ascii="Arial" w:hAnsi="Arial" w:cs="Arial"/>
          <w:sz w:val="24"/>
          <w:szCs w:val="24"/>
          <w:lang w:val="en-US"/>
        </w:rPr>
        <w:t xml:space="preserve">Liu Y, Birch S, Newbold K, Essue B. Barriers to treatment adherence for individuals with latent tuberculosis infection: a systematic search and narrative synthesis of the literature. </w:t>
      </w:r>
      <w:r w:rsidRPr="00E677E2">
        <w:rPr>
          <w:rFonts w:ascii="Arial" w:hAnsi="Arial" w:cs="Arial"/>
          <w:sz w:val="24"/>
          <w:szCs w:val="24"/>
        </w:rPr>
        <w:t>Int J Health Plann Mgmt. 2018;33(2</w:t>
      </w:r>
      <w:r w:rsidR="00C9372A" w:rsidRPr="00E677E2">
        <w:rPr>
          <w:rFonts w:ascii="Arial" w:hAnsi="Arial" w:cs="Arial"/>
          <w:sz w:val="24"/>
          <w:szCs w:val="24"/>
        </w:rPr>
        <w:t>): e</w:t>
      </w:r>
      <w:r w:rsidRPr="00E677E2">
        <w:rPr>
          <w:rFonts w:ascii="Arial" w:hAnsi="Arial" w:cs="Arial"/>
          <w:sz w:val="24"/>
          <w:szCs w:val="24"/>
        </w:rPr>
        <w:t>416-e433.</w:t>
      </w:r>
    </w:p>
    <w:p w14:paraId="30A225E5" w14:textId="77777777" w:rsidR="00A85FAB" w:rsidRDefault="00A85FAB" w:rsidP="00D8601A">
      <w:pPr>
        <w:widowControl w:val="0"/>
        <w:autoSpaceDE w:val="0"/>
        <w:autoSpaceDN w:val="0"/>
        <w:adjustRightInd w:val="0"/>
        <w:spacing w:after="0" w:line="240" w:lineRule="auto"/>
        <w:ind w:left="640" w:hanging="640"/>
        <w:jc w:val="both"/>
        <w:rPr>
          <w:rFonts w:ascii="Arial" w:hAnsi="Arial" w:cs="Arial"/>
          <w:sz w:val="24"/>
          <w:szCs w:val="24"/>
        </w:rPr>
      </w:pPr>
    </w:p>
    <w:p w14:paraId="6C401D01" w14:textId="7E230ABB" w:rsidR="00C9372A" w:rsidRDefault="00C9372A" w:rsidP="00D8601A">
      <w:pPr>
        <w:widowControl w:val="0"/>
        <w:autoSpaceDE w:val="0"/>
        <w:autoSpaceDN w:val="0"/>
        <w:adjustRightInd w:val="0"/>
        <w:spacing w:after="0" w:line="240" w:lineRule="auto"/>
        <w:ind w:left="640" w:hanging="640"/>
        <w:jc w:val="both"/>
        <w:rPr>
          <w:rFonts w:ascii="Arial" w:hAnsi="Arial" w:cs="Arial"/>
          <w:color w:val="000000" w:themeColor="text1"/>
          <w:sz w:val="24"/>
          <w:szCs w:val="24"/>
          <w:shd w:val="clear" w:color="auto" w:fill="FFFFFF"/>
          <w:lang w:val="en-US"/>
        </w:rPr>
      </w:pPr>
      <w:r>
        <w:rPr>
          <w:rFonts w:ascii="Arial" w:hAnsi="Arial" w:cs="Arial"/>
          <w:sz w:val="24"/>
          <w:szCs w:val="24"/>
        </w:rPr>
        <w:t>33.    Organización Mundial de la Salud.</w:t>
      </w:r>
      <w:r w:rsidRPr="00C9372A">
        <w:rPr>
          <w:rFonts w:ascii="Arial" w:hAnsi="Arial" w:cs="Arial"/>
          <w:sz w:val="28"/>
          <w:szCs w:val="28"/>
        </w:rPr>
        <w:t xml:space="preserve"> </w:t>
      </w:r>
      <w:r w:rsidRPr="00C9372A">
        <w:rPr>
          <w:rFonts w:ascii="Arial" w:hAnsi="Arial" w:cs="Arial"/>
          <w:sz w:val="24"/>
          <w:szCs w:val="24"/>
        </w:rPr>
        <w:t xml:space="preserve">Implementación </w:t>
      </w:r>
      <w:r>
        <w:rPr>
          <w:rFonts w:ascii="Arial" w:hAnsi="Arial" w:cs="Arial"/>
          <w:sz w:val="24"/>
          <w:szCs w:val="24"/>
        </w:rPr>
        <w:t>d</w:t>
      </w:r>
      <w:r w:rsidRPr="00C9372A">
        <w:rPr>
          <w:rFonts w:ascii="Arial" w:hAnsi="Arial" w:cs="Arial"/>
          <w:sz w:val="24"/>
          <w:szCs w:val="24"/>
        </w:rPr>
        <w:t xml:space="preserve">e </w:t>
      </w:r>
      <w:r>
        <w:rPr>
          <w:rFonts w:ascii="Arial" w:hAnsi="Arial" w:cs="Arial"/>
          <w:sz w:val="24"/>
          <w:szCs w:val="24"/>
        </w:rPr>
        <w:t>l</w:t>
      </w:r>
      <w:r w:rsidRPr="00C9372A">
        <w:rPr>
          <w:rFonts w:ascii="Arial" w:hAnsi="Arial" w:cs="Arial"/>
          <w:sz w:val="24"/>
          <w:szCs w:val="24"/>
        </w:rPr>
        <w:t xml:space="preserve">a </w:t>
      </w:r>
      <w:r>
        <w:rPr>
          <w:rFonts w:ascii="Arial" w:hAnsi="Arial" w:cs="Arial"/>
          <w:sz w:val="24"/>
          <w:szCs w:val="24"/>
        </w:rPr>
        <w:t>e</w:t>
      </w:r>
      <w:r w:rsidRPr="00C9372A">
        <w:rPr>
          <w:rFonts w:ascii="Arial" w:hAnsi="Arial" w:cs="Arial"/>
          <w:sz w:val="24"/>
          <w:szCs w:val="24"/>
        </w:rPr>
        <w:t xml:space="preserve">strategia </w:t>
      </w:r>
      <w:r>
        <w:rPr>
          <w:rFonts w:ascii="Arial" w:hAnsi="Arial" w:cs="Arial"/>
          <w:sz w:val="24"/>
          <w:szCs w:val="24"/>
        </w:rPr>
        <w:t>f</w:t>
      </w:r>
      <w:r w:rsidRPr="00C9372A">
        <w:rPr>
          <w:rFonts w:ascii="Arial" w:hAnsi="Arial" w:cs="Arial"/>
          <w:sz w:val="24"/>
          <w:szCs w:val="24"/>
        </w:rPr>
        <w:t xml:space="preserve">in </w:t>
      </w:r>
      <w:r>
        <w:rPr>
          <w:rFonts w:ascii="Arial" w:hAnsi="Arial" w:cs="Arial"/>
          <w:sz w:val="24"/>
          <w:szCs w:val="24"/>
        </w:rPr>
        <w:t>d</w:t>
      </w:r>
      <w:r w:rsidRPr="00C9372A">
        <w:rPr>
          <w:rFonts w:ascii="Arial" w:hAnsi="Arial" w:cs="Arial"/>
          <w:sz w:val="24"/>
          <w:szCs w:val="24"/>
        </w:rPr>
        <w:t xml:space="preserve">e </w:t>
      </w:r>
      <w:r>
        <w:rPr>
          <w:rFonts w:ascii="Arial" w:hAnsi="Arial" w:cs="Arial"/>
          <w:sz w:val="24"/>
          <w:szCs w:val="24"/>
        </w:rPr>
        <w:t>l</w:t>
      </w:r>
      <w:r w:rsidRPr="00C9372A">
        <w:rPr>
          <w:rFonts w:ascii="Arial" w:hAnsi="Arial" w:cs="Arial"/>
          <w:sz w:val="24"/>
          <w:szCs w:val="24"/>
        </w:rPr>
        <w:t>a T</w:t>
      </w:r>
      <w:r>
        <w:rPr>
          <w:rFonts w:ascii="Arial" w:hAnsi="Arial" w:cs="Arial"/>
          <w:sz w:val="24"/>
          <w:szCs w:val="24"/>
        </w:rPr>
        <w:t>B</w:t>
      </w:r>
      <w:r w:rsidRPr="00C9372A">
        <w:rPr>
          <w:rFonts w:ascii="Arial" w:hAnsi="Arial" w:cs="Arial"/>
          <w:sz w:val="24"/>
          <w:szCs w:val="24"/>
        </w:rPr>
        <w:t xml:space="preserve">: </w:t>
      </w:r>
      <w:r>
        <w:rPr>
          <w:rFonts w:ascii="Arial" w:hAnsi="Arial" w:cs="Arial"/>
          <w:sz w:val="24"/>
          <w:szCs w:val="24"/>
        </w:rPr>
        <w:t>a</w:t>
      </w:r>
      <w:r w:rsidRPr="00C9372A">
        <w:rPr>
          <w:rFonts w:ascii="Arial" w:hAnsi="Arial" w:cs="Arial"/>
          <w:sz w:val="24"/>
          <w:szCs w:val="24"/>
        </w:rPr>
        <w:t xml:space="preserve">spectos </w:t>
      </w:r>
      <w:r>
        <w:rPr>
          <w:rFonts w:ascii="Arial" w:hAnsi="Arial" w:cs="Arial"/>
          <w:sz w:val="24"/>
          <w:szCs w:val="24"/>
        </w:rPr>
        <w:t>e</w:t>
      </w:r>
      <w:r w:rsidRPr="00C9372A">
        <w:rPr>
          <w:rFonts w:ascii="Arial" w:hAnsi="Arial" w:cs="Arial"/>
          <w:sz w:val="24"/>
          <w:szCs w:val="24"/>
        </w:rPr>
        <w:t>senciales</w:t>
      </w:r>
      <w:r>
        <w:rPr>
          <w:rFonts w:ascii="Arial" w:hAnsi="Arial" w:cs="Arial"/>
          <w:sz w:val="24"/>
          <w:szCs w:val="24"/>
        </w:rPr>
        <w:t xml:space="preserve">. Ginebra. OMS. 2016. </w:t>
      </w:r>
    </w:p>
    <w:p w14:paraId="76F11262" w14:textId="77777777" w:rsidR="00E42DC8" w:rsidRDefault="00E42DC8" w:rsidP="00E42DC8">
      <w:pPr>
        <w:widowControl w:val="0"/>
        <w:autoSpaceDE w:val="0"/>
        <w:autoSpaceDN w:val="0"/>
        <w:adjustRightInd w:val="0"/>
        <w:spacing w:after="0" w:line="360" w:lineRule="auto"/>
        <w:ind w:left="640" w:hanging="640"/>
        <w:jc w:val="both"/>
        <w:rPr>
          <w:rFonts w:ascii="Arial" w:hAnsi="Arial" w:cs="Arial"/>
          <w:sz w:val="24"/>
          <w:szCs w:val="24"/>
        </w:rPr>
      </w:pPr>
    </w:p>
    <w:p w14:paraId="195B2E7E" w14:textId="77777777" w:rsidR="00E42DC8" w:rsidRDefault="00E42DC8" w:rsidP="00E42DC8">
      <w:pPr>
        <w:widowControl w:val="0"/>
        <w:autoSpaceDE w:val="0"/>
        <w:autoSpaceDN w:val="0"/>
        <w:adjustRightInd w:val="0"/>
        <w:spacing w:after="0" w:line="360" w:lineRule="auto"/>
        <w:ind w:left="640" w:hanging="640"/>
        <w:jc w:val="both"/>
        <w:rPr>
          <w:rFonts w:ascii="Arial" w:hAnsi="Arial" w:cs="Arial"/>
          <w:sz w:val="24"/>
          <w:szCs w:val="24"/>
        </w:rPr>
      </w:pPr>
    </w:p>
    <w:p w14:paraId="5A135909" w14:textId="77777777" w:rsidR="00E42DC8" w:rsidRPr="002F7A53" w:rsidRDefault="00E42DC8" w:rsidP="00E42DC8">
      <w:pPr>
        <w:widowControl w:val="0"/>
        <w:autoSpaceDE w:val="0"/>
        <w:autoSpaceDN w:val="0"/>
        <w:adjustRightInd w:val="0"/>
        <w:spacing w:after="0" w:line="360" w:lineRule="auto"/>
        <w:ind w:left="640" w:hanging="640"/>
        <w:jc w:val="both"/>
        <w:rPr>
          <w:rFonts w:ascii="Arial" w:hAnsi="Arial" w:cs="Arial"/>
          <w:noProof/>
          <w:sz w:val="24"/>
        </w:rPr>
      </w:pPr>
    </w:p>
    <w:p w14:paraId="3BE9CC5A" w14:textId="215FABF6" w:rsidR="009A59E8" w:rsidRDefault="00E42DC8" w:rsidP="00E42DC8">
      <w:pPr>
        <w:rPr>
          <w:rFonts w:ascii="Arial" w:hAnsi="Arial" w:cs="Arial"/>
          <w:sz w:val="24"/>
          <w:szCs w:val="24"/>
        </w:rPr>
      </w:pPr>
      <w:r w:rsidRPr="002F7A53">
        <w:rPr>
          <w:rFonts w:ascii="Arial" w:hAnsi="Arial" w:cs="Arial"/>
          <w:sz w:val="24"/>
          <w:szCs w:val="24"/>
        </w:rPr>
        <w:fldChar w:fldCharType="end"/>
      </w:r>
    </w:p>
    <w:p w14:paraId="6E54B1F0" w14:textId="77777777" w:rsidR="00C9372A" w:rsidRPr="00C9372A" w:rsidRDefault="00C9372A" w:rsidP="00C9372A">
      <w:pPr>
        <w:jc w:val="center"/>
        <w:rPr>
          <w:rFonts w:ascii="Arial" w:eastAsia="Arial" w:hAnsi="Arial" w:cs="Arial"/>
          <w:sz w:val="24"/>
          <w:szCs w:val="24"/>
        </w:rPr>
      </w:pPr>
    </w:p>
    <w:sectPr w:rsidR="00C9372A" w:rsidRPr="00C9372A" w:rsidSect="00A307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7C70" w14:textId="77777777" w:rsidR="0045571A" w:rsidRDefault="0045571A">
      <w:pPr>
        <w:spacing w:after="0" w:line="240" w:lineRule="auto"/>
      </w:pPr>
      <w:r>
        <w:separator/>
      </w:r>
    </w:p>
  </w:endnote>
  <w:endnote w:type="continuationSeparator" w:id="0">
    <w:p w14:paraId="59387594" w14:textId="77777777" w:rsidR="0045571A" w:rsidRDefault="0045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03DB" w14:textId="77777777" w:rsidR="0045571A" w:rsidRDefault="0045571A">
      <w:pPr>
        <w:spacing w:after="0" w:line="240" w:lineRule="auto"/>
      </w:pPr>
      <w:r>
        <w:separator/>
      </w:r>
    </w:p>
  </w:footnote>
  <w:footnote w:type="continuationSeparator" w:id="0">
    <w:p w14:paraId="667A7BD6" w14:textId="77777777" w:rsidR="0045571A" w:rsidRDefault="0045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28930"/>
      <w:docPartObj>
        <w:docPartGallery w:val="Page Numbers (Top of Page)"/>
        <w:docPartUnique/>
      </w:docPartObj>
    </w:sdtPr>
    <w:sdtEndPr/>
    <w:sdtContent>
      <w:p w14:paraId="68F4D2BE" w14:textId="74992E2C" w:rsidR="00AE0183" w:rsidRDefault="00AE0183">
        <w:pPr>
          <w:pStyle w:val="Encabezado"/>
          <w:jc w:val="right"/>
        </w:pPr>
        <w:r>
          <w:fldChar w:fldCharType="begin"/>
        </w:r>
        <w:r>
          <w:instrText>PAGE   \* MERGEFORMAT</w:instrText>
        </w:r>
        <w:r>
          <w:fldChar w:fldCharType="separate"/>
        </w:r>
        <w:r>
          <w:t>2</w:t>
        </w:r>
        <w:r>
          <w:fldChar w:fldCharType="end"/>
        </w:r>
      </w:p>
    </w:sdtContent>
  </w:sdt>
  <w:p w14:paraId="1258681E" w14:textId="498247C5" w:rsidR="00AE0183" w:rsidRDefault="00AE0183" w:rsidP="13CEF193">
    <w:pPr>
      <w:pStyle w:val="Encabezado"/>
    </w:pPr>
  </w:p>
</w:hdr>
</file>

<file path=word/intelligence.xml><?xml version="1.0" encoding="utf-8"?>
<int:Intelligence xmlns:int="http://schemas.microsoft.com/office/intelligence/2019/intelligence">
  <int:IntelligenceSettings/>
  <int:Manifest>
    <int:WordHash hashCode="Cm407zqXy/7sK2" id="p4jwyRqs"/>
    <int:WordHash hashCode="lJOdCFKP6rkNPq" id="9UTFafyf"/>
    <int:WordHash hashCode="UxV34upqHu+c2r" id="vMQD/6iu"/>
    <int:WordHash hashCode="459lKytgfQVGyY" id="v238ApCG"/>
    <int:WordHash hashCode="KtGifSVe3V9pH/" id="eAPAD19j"/>
    <int:WordHash hashCode="NhYZNTLllQlQCE" id="3CVhrxrK"/>
    <int:WordHash hashCode="iMKw+8kqwvk0K4" id="NJvFe2Dv"/>
    <int:WordHash hashCode="3HiV4IpcDBv7gr" id="EFY+Norw"/>
    <int:WordHash hashCode="20Yu8JK3icbII6" id="cgu8mtWU"/>
    <int:WordHash hashCode="W4w5+SO2oxfmWg" id="i3hAfYD+"/>
    <int:WordHash hashCode="QCJdIWsNrNxAWN" id="drTeyvZs"/>
    <int:WordHash hashCode="bR0KLEYup2glFt" id="QnYnQacq"/>
    <int:WordHash hashCode="6mmE761lXi1KhM" id="8moBqEio"/>
    <int:WordHash hashCode="eOovjg5TpZD4sh" id="C0Tol84C"/>
    <int:WordHash hashCode="UVfLWfcHm8tttX" id="EGkwJUrq"/>
    <int:WordHash hashCode="xb19OKKbPfJpcH" id="VOo37KhM"/>
    <int:WordHash hashCode="nLYNg/nXIfOQEC" id="XpqV/El1"/>
    <int:WordHash hashCode="SB0ke3zDm96qKa" id="MmGxBYuE"/>
    <int:WordHash hashCode="IGVV6HIiOgQIgC" id="yTlC6hU9"/>
    <int:WordHash hashCode="Utp4RuOW/zjNZy" id="zSpS2yLE"/>
    <int:WordHash hashCode="e8k6h0ijOTRfFQ" id="sTdvNA2K"/>
    <int:WordHash hashCode="uSM2ovuK9jE0vp" id="zTHwQS7p"/>
    <int:WordHash hashCode="3gT6Din5s14kkF" id="oyp6UK5r"/>
    <int:WordHash hashCode="wr4gpr66NTORWO" id="jyDhakXy"/>
    <int:WordHash hashCode="bqFFf9VAhNnNS3" id="DqBZiphR"/>
    <int:WordHash hashCode="C7N/TkEyTC2Uxp" id="5oM3ks1R"/>
    <int:WordHash hashCode="rMXUPgk22/Pye5" id="5+C4Ag+L"/>
    <int:WordHash hashCode="3HZfkRzCqpeuDZ" id="cDNzUr7q"/>
    <int:WordHash hashCode="MRmAQ1dmvT1amg" id="8gPoP4jT"/>
    <int:WordHash hashCode="QKGSNFJ0U1BUmp" id="JjkCbDoi"/>
    <int:WordHash hashCode="RvirfAz/nffNEk" id="Y2CY/KJF"/>
    <int:WordHash hashCode="EaEQu+8bzAfua3" id="KVzUcewB"/>
    <int:WordHash hashCode="4egomvprVOQQvC" id="eRcOKi9I"/>
    <int:WordHash hashCode="3NHKV8pGQsNxss" id="VEjyXHMi"/>
    <int:WordHash hashCode="fKvUJN0hdNtj+M" id="Ql15jlQv"/>
    <int:WordHash hashCode="Ooe5//L6FJdSvi" id="2immQplA"/>
    <int:WordHash hashCode="o4vl9owiIhswZl" id="cAGD9Xzg"/>
    <int:WordHash hashCode="YeYrIToaVvdpWE" id="v0uIrsQR"/>
    <int:WordHash hashCode="9I+1iC6si15UOA" id="baP/y82X"/>
    <int:WordHash hashCode="auta81Kn3z7QwR" id="HbOnd4A7"/>
    <int:WordHash hashCode="HenVX2cHOZdH1r" id="TfcSXe8a"/>
    <int:WordHash hashCode="BRNEJrzRdQULCB" id="bgXDg/pE"/>
    <int:WordHash hashCode="kPD4i/hPK+8HsZ" id="0tM5EckH"/>
    <int:WordHash hashCode="elfYiep/JmKZQ0" id="4u1AmU0Y"/>
    <int:WordHash hashCode="CgnU9DPROZX0g7" id="KI0PR7xN"/>
    <int:WordHash hashCode="jkY5W6qMuECr8Z" id="GR7n86Gw"/>
    <int:WordHash hashCode="jMD0V/61FcbgLw" id="vrDmU+p+"/>
    <int:WordHash hashCode="DxWcKjQChcxKnA" id="uJhAFPKN"/>
    <int:WordHash hashCode="I1dYkuzqARRlfB" id="NOMAB0cK"/>
    <int:WordHash hashCode="S+GB5MrIIsCwkC" id="lGuWt1Tb"/>
    <int:WordHash hashCode="LHvxt3eFm3Fkex" id="RAhVWswN"/>
  </int:Manifest>
  <int:Observations>
    <int:Content id="p4jwyRqs">
      <int:Rejection type="LegacyProofing"/>
    </int:Content>
    <int:Content id="9UTFafyf">
      <int:Rejection type="LegacyProofing"/>
    </int:Content>
    <int:Content id="vMQD/6iu">
      <int:Rejection type="LegacyProofing"/>
    </int:Content>
    <int:Content id="v238ApCG">
      <int:Rejection type="LegacyProofing"/>
    </int:Content>
    <int:Content id="eAPAD19j">
      <int:Rejection type="LegacyProofing"/>
    </int:Content>
    <int:Content id="3CVhrxrK">
      <int:Rejection type="LegacyProofing"/>
    </int:Content>
    <int:Content id="NJvFe2Dv">
      <int:Rejection type="LegacyProofing"/>
    </int:Content>
    <int:Content id="EFY+Norw">
      <int:Rejection type="LegacyProofing"/>
    </int:Content>
    <int:Content id="cgu8mtWU">
      <int:Rejection type="LegacyProofing"/>
    </int:Content>
    <int:Content id="i3hAfYD+">
      <int:Rejection type="LegacyProofing"/>
    </int:Content>
    <int:Content id="drTeyvZs">
      <int:Rejection type="LegacyProofing"/>
    </int:Content>
    <int:Content id="QnYnQacq">
      <int:Rejection type="LegacyProofing"/>
    </int:Content>
    <int:Content id="8moBqEio">
      <int:Rejection type="LegacyProofing"/>
    </int:Content>
    <int:Content id="C0Tol84C">
      <int:Rejection type="LegacyProofing"/>
    </int:Content>
    <int:Content id="EGkwJUrq">
      <int:Rejection type="LegacyProofing"/>
    </int:Content>
    <int:Content id="VOo37KhM">
      <int:Rejection type="LegacyProofing"/>
    </int:Content>
    <int:Content id="XpqV/El1">
      <int:Rejection type="LegacyProofing"/>
    </int:Content>
    <int:Content id="MmGxBYuE">
      <int:Rejection type="LegacyProofing"/>
    </int:Content>
    <int:Content id="yTlC6hU9">
      <int:Rejection type="LegacyProofing"/>
    </int:Content>
    <int:Content id="zSpS2yLE">
      <int:Rejection type="LegacyProofing"/>
    </int:Content>
    <int:Content id="sTdvNA2K">
      <int:Rejection type="LegacyProofing"/>
    </int:Content>
    <int:Content id="zTHwQS7p">
      <int:Rejection type="LegacyProofing"/>
    </int:Content>
    <int:Content id="oyp6UK5r">
      <int:Rejection type="LegacyProofing"/>
    </int:Content>
    <int:Content id="jyDhakXy">
      <int:Rejection type="LegacyProofing"/>
    </int:Content>
    <int:Content id="DqBZiphR">
      <int:Rejection type="LegacyProofing"/>
    </int:Content>
    <int:Content id="5oM3ks1R">
      <int:Rejection type="LegacyProofing"/>
    </int:Content>
    <int:Content id="5+C4Ag+L">
      <int:Rejection type="LegacyProofing"/>
    </int:Content>
    <int:Content id="cDNzUr7q">
      <int:Rejection type="LegacyProofing"/>
    </int:Content>
    <int:Content id="8gPoP4jT">
      <int:Rejection type="LegacyProofing"/>
    </int:Content>
    <int:Content id="JjkCbDoi">
      <int:Rejection type="LegacyProofing"/>
    </int:Content>
    <int:Content id="Y2CY/KJF">
      <int:Rejection type="LegacyProofing"/>
    </int:Content>
    <int:Content id="KVzUcewB">
      <int:Rejection type="LegacyProofing"/>
    </int:Content>
    <int:Content id="eRcOKi9I">
      <int:Rejection type="LegacyProofing"/>
    </int:Content>
    <int:Content id="VEjyXHMi">
      <int:Rejection type="LegacyProofing"/>
    </int:Content>
    <int:Content id="Ql15jlQv">
      <int:Rejection type="LegacyProofing"/>
    </int:Content>
    <int:Content id="2immQplA">
      <int:Rejection type="LegacyProofing"/>
    </int:Content>
    <int:Content id="cAGD9Xzg">
      <int:Rejection type="LegacyProofing"/>
    </int:Content>
    <int:Content id="v0uIrsQR">
      <int:Rejection type="LegacyProofing"/>
    </int:Content>
    <int:Content id="baP/y82X">
      <int:Rejection type="LegacyProofing"/>
    </int:Content>
    <int:Content id="HbOnd4A7">
      <int:Rejection type="LegacyProofing"/>
    </int:Content>
    <int:Content id="TfcSXe8a">
      <int:Rejection type="LegacyProofing"/>
    </int:Content>
    <int:Content id="bgXDg/pE">
      <int:Rejection type="LegacyProofing"/>
    </int:Content>
    <int:Content id="0tM5EckH">
      <int:Rejection type="LegacyProofing"/>
    </int:Content>
    <int:Content id="4u1AmU0Y">
      <int:Rejection type="LegacyProofing"/>
    </int:Content>
    <int:Content id="KI0PR7xN">
      <int:Rejection type="LegacyProofing"/>
    </int:Content>
    <int:Content id="GR7n86Gw">
      <int:Rejection type="LegacyProofing"/>
    </int:Content>
    <int:Content id="vrDmU+p+">
      <int:Rejection type="LegacyProofing"/>
    </int:Content>
    <int:Content id="uJhAFPKN">
      <int:Rejection type="LegacyProofing"/>
    </int:Content>
    <int:Content id="NOMAB0cK">
      <int:Rejection type="LegacyProofing"/>
    </int:Content>
    <int:Content id="lGuWt1Tb">
      <int:Rejection type="LegacyProofing"/>
    </int:Content>
    <int:Content id="RAhVWsw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6D5"/>
    <w:multiLevelType w:val="hybridMultilevel"/>
    <w:tmpl w:val="FFFFFFFF"/>
    <w:lvl w:ilvl="0" w:tplc="10525502">
      <w:start w:val="1"/>
      <w:numFmt w:val="decimal"/>
      <w:lvlText w:val="%1."/>
      <w:lvlJc w:val="left"/>
      <w:pPr>
        <w:ind w:left="720" w:hanging="360"/>
      </w:pPr>
    </w:lvl>
    <w:lvl w:ilvl="1" w:tplc="C64E173A">
      <w:start w:val="1"/>
      <w:numFmt w:val="lowerLetter"/>
      <w:lvlText w:val="%2."/>
      <w:lvlJc w:val="left"/>
      <w:pPr>
        <w:ind w:left="1440" w:hanging="360"/>
      </w:pPr>
    </w:lvl>
    <w:lvl w:ilvl="2" w:tplc="6D780C46">
      <w:start w:val="1"/>
      <w:numFmt w:val="lowerRoman"/>
      <w:lvlText w:val="%3."/>
      <w:lvlJc w:val="right"/>
      <w:pPr>
        <w:ind w:left="2160" w:hanging="180"/>
      </w:pPr>
    </w:lvl>
    <w:lvl w:ilvl="3" w:tplc="5FD0488E">
      <w:start w:val="1"/>
      <w:numFmt w:val="decimal"/>
      <w:lvlText w:val="%4."/>
      <w:lvlJc w:val="left"/>
      <w:pPr>
        <w:ind w:left="2880" w:hanging="360"/>
      </w:pPr>
    </w:lvl>
    <w:lvl w:ilvl="4" w:tplc="FEE40920">
      <w:start w:val="1"/>
      <w:numFmt w:val="lowerLetter"/>
      <w:lvlText w:val="%5."/>
      <w:lvlJc w:val="left"/>
      <w:pPr>
        <w:ind w:left="3600" w:hanging="360"/>
      </w:pPr>
    </w:lvl>
    <w:lvl w:ilvl="5" w:tplc="8908815A">
      <w:start w:val="1"/>
      <w:numFmt w:val="lowerRoman"/>
      <w:lvlText w:val="%6."/>
      <w:lvlJc w:val="right"/>
      <w:pPr>
        <w:ind w:left="4320" w:hanging="180"/>
      </w:pPr>
    </w:lvl>
    <w:lvl w:ilvl="6" w:tplc="C6B24A58">
      <w:start w:val="1"/>
      <w:numFmt w:val="decimal"/>
      <w:lvlText w:val="%7."/>
      <w:lvlJc w:val="left"/>
      <w:pPr>
        <w:ind w:left="5040" w:hanging="360"/>
      </w:pPr>
    </w:lvl>
    <w:lvl w:ilvl="7" w:tplc="72F0C41E">
      <w:start w:val="1"/>
      <w:numFmt w:val="lowerLetter"/>
      <w:lvlText w:val="%8."/>
      <w:lvlJc w:val="left"/>
      <w:pPr>
        <w:ind w:left="5760" w:hanging="360"/>
      </w:pPr>
    </w:lvl>
    <w:lvl w:ilvl="8" w:tplc="3AF06FE2">
      <w:start w:val="1"/>
      <w:numFmt w:val="lowerRoman"/>
      <w:lvlText w:val="%9."/>
      <w:lvlJc w:val="right"/>
      <w:pPr>
        <w:ind w:left="6480" w:hanging="180"/>
      </w:pPr>
    </w:lvl>
  </w:abstractNum>
  <w:abstractNum w:abstractNumId="1" w15:restartNumberingAfterBreak="0">
    <w:nsid w:val="039E6A9A"/>
    <w:multiLevelType w:val="hybridMultilevel"/>
    <w:tmpl w:val="FFFFFFFF"/>
    <w:lvl w:ilvl="0" w:tplc="A8B22892">
      <w:start w:val="1"/>
      <w:numFmt w:val="bullet"/>
      <w:lvlText w:val="·"/>
      <w:lvlJc w:val="left"/>
      <w:pPr>
        <w:ind w:left="720" w:hanging="360"/>
      </w:pPr>
      <w:rPr>
        <w:rFonts w:ascii="Symbol" w:hAnsi="Symbol" w:hint="default"/>
      </w:rPr>
    </w:lvl>
    <w:lvl w:ilvl="1" w:tplc="F2BE166A">
      <w:start w:val="1"/>
      <w:numFmt w:val="bullet"/>
      <w:lvlText w:val="o"/>
      <w:lvlJc w:val="left"/>
      <w:pPr>
        <w:ind w:left="1440" w:hanging="360"/>
      </w:pPr>
      <w:rPr>
        <w:rFonts w:ascii="Courier New" w:hAnsi="Courier New" w:hint="default"/>
      </w:rPr>
    </w:lvl>
    <w:lvl w:ilvl="2" w:tplc="537C1532">
      <w:start w:val="1"/>
      <w:numFmt w:val="bullet"/>
      <w:lvlText w:val=""/>
      <w:lvlJc w:val="left"/>
      <w:pPr>
        <w:ind w:left="2160" w:hanging="360"/>
      </w:pPr>
      <w:rPr>
        <w:rFonts w:ascii="Wingdings" w:hAnsi="Wingdings" w:hint="default"/>
      </w:rPr>
    </w:lvl>
    <w:lvl w:ilvl="3" w:tplc="71903A16">
      <w:start w:val="1"/>
      <w:numFmt w:val="bullet"/>
      <w:lvlText w:val=""/>
      <w:lvlJc w:val="left"/>
      <w:pPr>
        <w:ind w:left="2880" w:hanging="360"/>
      </w:pPr>
      <w:rPr>
        <w:rFonts w:ascii="Symbol" w:hAnsi="Symbol" w:hint="default"/>
      </w:rPr>
    </w:lvl>
    <w:lvl w:ilvl="4" w:tplc="E7901852">
      <w:start w:val="1"/>
      <w:numFmt w:val="bullet"/>
      <w:lvlText w:val="o"/>
      <w:lvlJc w:val="left"/>
      <w:pPr>
        <w:ind w:left="3600" w:hanging="360"/>
      </w:pPr>
      <w:rPr>
        <w:rFonts w:ascii="Courier New" w:hAnsi="Courier New" w:hint="default"/>
      </w:rPr>
    </w:lvl>
    <w:lvl w:ilvl="5" w:tplc="7966A718">
      <w:start w:val="1"/>
      <w:numFmt w:val="bullet"/>
      <w:lvlText w:val=""/>
      <w:lvlJc w:val="left"/>
      <w:pPr>
        <w:ind w:left="4320" w:hanging="360"/>
      </w:pPr>
      <w:rPr>
        <w:rFonts w:ascii="Wingdings" w:hAnsi="Wingdings" w:hint="default"/>
      </w:rPr>
    </w:lvl>
    <w:lvl w:ilvl="6" w:tplc="EC98392A">
      <w:start w:val="1"/>
      <w:numFmt w:val="bullet"/>
      <w:lvlText w:val=""/>
      <w:lvlJc w:val="left"/>
      <w:pPr>
        <w:ind w:left="5040" w:hanging="360"/>
      </w:pPr>
      <w:rPr>
        <w:rFonts w:ascii="Symbol" w:hAnsi="Symbol" w:hint="default"/>
      </w:rPr>
    </w:lvl>
    <w:lvl w:ilvl="7" w:tplc="5442CE3E">
      <w:start w:val="1"/>
      <w:numFmt w:val="bullet"/>
      <w:lvlText w:val="o"/>
      <w:lvlJc w:val="left"/>
      <w:pPr>
        <w:ind w:left="5760" w:hanging="360"/>
      </w:pPr>
      <w:rPr>
        <w:rFonts w:ascii="Courier New" w:hAnsi="Courier New" w:hint="default"/>
      </w:rPr>
    </w:lvl>
    <w:lvl w:ilvl="8" w:tplc="AE7A2786">
      <w:start w:val="1"/>
      <w:numFmt w:val="bullet"/>
      <w:lvlText w:val=""/>
      <w:lvlJc w:val="left"/>
      <w:pPr>
        <w:ind w:left="6480" w:hanging="360"/>
      </w:pPr>
      <w:rPr>
        <w:rFonts w:ascii="Wingdings" w:hAnsi="Wingdings" w:hint="default"/>
      </w:rPr>
    </w:lvl>
  </w:abstractNum>
  <w:abstractNum w:abstractNumId="2" w15:restartNumberingAfterBreak="0">
    <w:nsid w:val="09B63980"/>
    <w:multiLevelType w:val="hybridMultilevel"/>
    <w:tmpl w:val="FFFFFFFF"/>
    <w:lvl w:ilvl="0" w:tplc="2F4CFBF0">
      <w:start w:val="1"/>
      <w:numFmt w:val="bullet"/>
      <w:lvlText w:val="·"/>
      <w:lvlJc w:val="left"/>
      <w:pPr>
        <w:ind w:left="720" w:hanging="360"/>
      </w:pPr>
      <w:rPr>
        <w:rFonts w:ascii="Symbol" w:hAnsi="Symbol" w:hint="default"/>
      </w:rPr>
    </w:lvl>
    <w:lvl w:ilvl="1" w:tplc="CA6C192E">
      <w:start w:val="1"/>
      <w:numFmt w:val="bullet"/>
      <w:lvlText w:val="o"/>
      <w:lvlJc w:val="left"/>
      <w:pPr>
        <w:ind w:left="1440" w:hanging="360"/>
      </w:pPr>
      <w:rPr>
        <w:rFonts w:ascii="Courier New" w:hAnsi="Courier New" w:hint="default"/>
      </w:rPr>
    </w:lvl>
    <w:lvl w:ilvl="2" w:tplc="461E4FD0">
      <w:start w:val="1"/>
      <w:numFmt w:val="bullet"/>
      <w:lvlText w:val=""/>
      <w:lvlJc w:val="left"/>
      <w:pPr>
        <w:ind w:left="2160" w:hanging="360"/>
      </w:pPr>
      <w:rPr>
        <w:rFonts w:ascii="Wingdings" w:hAnsi="Wingdings" w:hint="default"/>
      </w:rPr>
    </w:lvl>
    <w:lvl w:ilvl="3" w:tplc="3C0641E8">
      <w:start w:val="1"/>
      <w:numFmt w:val="bullet"/>
      <w:lvlText w:val=""/>
      <w:lvlJc w:val="left"/>
      <w:pPr>
        <w:ind w:left="2880" w:hanging="360"/>
      </w:pPr>
      <w:rPr>
        <w:rFonts w:ascii="Symbol" w:hAnsi="Symbol" w:hint="default"/>
      </w:rPr>
    </w:lvl>
    <w:lvl w:ilvl="4" w:tplc="B6A08AF6">
      <w:start w:val="1"/>
      <w:numFmt w:val="bullet"/>
      <w:lvlText w:val="o"/>
      <w:lvlJc w:val="left"/>
      <w:pPr>
        <w:ind w:left="3600" w:hanging="360"/>
      </w:pPr>
      <w:rPr>
        <w:rFonts w:ascii="Courier New" w:hAnsi="Courier New" w:hint="default"/>
      </w:rPr>
    </w:lvl>
    <w:lvl w:ilvl="5" w:tplc="8B1AEB02">
      <w:start w:val="1"/>
      <w:numFmt w:val="bullet"/>
      <w:lvlText w:val=""/>
      <w:lvlJc w:val="left"/>
      <w:pPr>
        <w:ind w:left="4320" w:hanging="360"/>
      </w:pPr>
      <w:rPr>
        <w:rFonts w:ascii="Wingdings" w:hAnsi="Wingdings" w:hint="default"/>
      </w:rPr>
    </w:lvl>
    <w:lvl w:ilvl="6" w:tplc="31DAEAA8">
      <w:start w:val="1"/>
      <w:numFmt w:val="bullet"/>
      <w:lvlText w:val=""/>
      <w:lvlJc w:val="left"/>
      <w:pPr>
        <w:ind w:left="5040" w:hanging="360"/>
      </w:pPr>
      <w:rPr>
        <w:rFonts w:ascii="Symbol" w:hAnsi="Symbol" w:hint="default"/>
      </w:rPr>
    </w:lvl>
    <w:lvl w:ilvl="7" w:tplc="D902C850">
      <w:start w:val="1"/>
      <w:numFmt w:val="bullet"/>
      <w:lvlText w:val="o"/>
      <w:lvlJc w:val="left"/>
      <w:pPr>
        <w:ind w:left="5760" w:hanging="360"/>
      </w:pPr>
      <w:rPr>
        <w:rFonts w:ascii="Courier New" w:hAnsi="Courier New" w:hint="default"/>
      </w:rPr>
    </w:lvl>
    <w:lvl w:ilvl="8" w:tplc="3AB6BAF4">
      <w:start w:val="1"/>
      <w:numFmt w:val="bullet"/>
      <w:lvlText w:val=""/>
      <w:lvlJc w:val="left"/>
      <w:pPr>
        <w:ind w:left="6480" w:hanging="360"/>
      </w:pPr>
      <w:rPr>
        <w:rFonts w:ascii="Wingdings" w:hAnsi="Wingdings" w:hint="default"/>
      </w:rPr>
    </w:lvl>
  </w:abstractNum>
  <w:abstractNum w:abstractNumId="3" w15:restartNumberingAfterBreak="0">
    <w:nsid w:val="14EF4AE2"/>
    <w:multiLevelType w:val="hybridMultilevel"/>
    <w:tmpl w:val="FFFFFFFF"/>
    <w:lvl w:ilvl="0" w:tplc="1C0C74D8">
      <w:start w:val="1"/>
      <w:numFmt w:val="bullet"/>
      <w:lvlText w:val="·"/>
      <w:lvlJc w:val="left"/>
      <w:pPr>
        <w:ind w:left="720" w:hanging="360"/>
      </w:pPr>
      <w:rPr>
        <w:rFonts w:ascii="Symbol" w:hAnsi="Symbol" w:hint="default"/>
      </w:rPr>
    </w:lvl>
    <w:lvl w:ilvl="1" w:tplc="E9DA1716">
      <w:start w:val="1"/>
      <w:numFmt w:val="bullet"/>
      <w:lvlText w:val="o"/>
      <w:lvlJc w:val="left"/>
      <w:pPr>
        <w:ind w:left="1440" w:hanging="360"/>
      </w:pPr>
      <w:rPr>
        <w:rFonts w:ascii="Courier New" w:hAnsi="Courier New" w:hint="default"/>
      </w:rPr>
    </w:lvl>
    <w:lvl w:ilvl="2" w:tplc="18B8CFA4">
      <w:start w:val="1"/>
      <w:numFmt w:val="bullet"/>
      <w:lvlText w:val=""/>
      <w:lvlJc w:val="left"/>
      <w:pPr>
        <w:ind w:left="2160" w:hanging="360"/>
      </w:pPr>
      <w:rPr>
        <w:rFonts w:ascii="Wingdings" w:hAnsi="Wingdings" w:hint="default"/>
      </w:rPr>
    </w:lvl>
    <w:lvl w:ilvl="3" w:tplc="734CB686">
      <w:start w:val="1"/>
      <w:numFmt w:val="bullet"/>
      <w:lvlText w:val=""/>
      <w:lvlJc w:val="left"/>
      <w:pPr>
        <w:ind w:left="2880" w:hanging="360"/>
      </w:pPr>
      <w:rPr>
        <w:rFonts w:ascii="Symbol" w:hAnsi="Symbol" w:hint="default"/>
      </w:rPr>
    </w:lvl>
    <w:lvl w:ilvl="4" w:tplc="C0A87D8A">
      <w:start w:val="1"/>
      <w:numFmt w:val="bullet"/>
      <w:lvlText w:val="o"/>
      <w:lvlJc w:val="left"/>
      <w:pPr>
        <w:ind w:left="3600" w:hanging="360"/>
      </w:pPr>
      <w:rPr>
        <w:rFonts w:ascii="Courier New" w:hAnsi="Courier New" w:hint="default"/>
      </w:rPr>
    </w:lvl>
    <w:lvl w:ilvl="5" w:tplc="7A046F3C">
      <w:start w:val="1"/>
      <w:numFmt w:val="bullet"/>
      <w:lvlText w:val=""/>
      <w:lvlJc w:val="left"/>
      <w:pPr>
        <w:ind w:left="4320" w:hanging="360"/>
      </w:pPr>
      <w:rPr>
        <w:rFonts w:ascii="Wingdings" w:hAnsi="Wingdings" w:hint="default"/>
      </w:rPr>
    </w:lvl>
    <w:lvl w:ilvl="6" w:tplc="E3BC3F46">
      <w:start w:val="1"/>
      <w:numFmt w:val="bullet"/>
      <w:lvlText w:val=""/>
      <w:lvlJc w:val="left"/>
      <w:pPr>
        <w:ind w:left="5040" w:hanging="360"/>
      </w:pPr>
      <w:rPr>
        <w:rFonts w:ascii="Symbol" w:hAnsi="Symbol" w:hint="default"/>
      </w:rPr>
    </w:lvl>
    <w:lvl w:ilvl="7" w:tplc="D556E1A6">
      <w:start w:val="1"/>
      <w:numFmt w:val="bullet"/>
      <w:lvlText w:val="o"/>
      <w:lvlJc w:val="left"/>
      <w:pPr>
        <w:ind w:left="5760" w:hanging="360"/>
      </w:pPr>
      <w:rPr>
        <w:rFonts w:ascii="Courier New" w:hAnsi="Courier New" w:hint="default"/>
      </w:rPr>
    </w:lvl>
    <w:lvl w:ilvl="8" w:tplc="2116B148">
      <w:start w:val="1"/>
      <w:numFmt w:val="bullet"/>
      <w:lvlText w:val=""/>
      <w:lvlJc w:val="left"/>
      <w:pPr>
        <w:ind w:left="6480" w:hanging="360"/>
      </w:pPr>
      <w:rPr>
        <w:rFonts w:ascii="Wingdings" w:hAnsi="Wingdings" w:hint="default"/>
      </w:rPr>
    </w:lvl>
  </w:abstractNum>
  <w:abstractNum w:abstractNumId="4" w15:restartNumberingAfterBreak="0">
    <w:nsid w:val="14F949DD"/>
    <w:multiLevelType w:val="hybridMultilevel"/>
    <w:tmpl w:val="FFFFFFFF"/>
    <w:lvl w:ilvl="0" w:tplc="A9942D88">
      <w:start w:val="1"/>
      <w:numFmt w:val="bullet"/>
      <w:lvlText w:val="·"/>
      <w:lvlJc w:val="left"/>
      <w:pPr>
        <w:ind w:left="720" w:hanging="360"/>
      </w:pPr>
      <w:rPr>
        <w:rFonts w:ascii="Symbol" w:hAnsi="Symbol" w:hint="default"/>
      </w:rPr>
    </w:lvl>
    <w:lvl w:ilvl="1" w:tplc="3990941C">
      <w:start w:val="1"/>
      <w:numFmt w:val="bullet"/>
      <w:lvlText w:val="o"/>
      <w:lvlJc w:val="left"/>
      <w:pPr>
        <w:ind w:left="1440" w:hanging="360"/>
      </w:pPr>
      <w:rPr>
        <w:rFonts w:ascii="Courier New" w:hAnsi="Courier New" w:hint="default"/>
      </w:rPr>
    </w:lvl>
    <w:lvl w:ilvl="2" w:tplc="650CE72A">
      <w:start w:val="1"/>
      <w:numFmt w:val="bullet"/>
      <w:lvlText w:val=""/>
      <w:lvlJc w:val="left"/>
      <w:pPr>
        <w:ind w:left="2160" w:hanging="360"/>
      </w:pPr>
      <w:rPr>
        <w:rFonts w:ascii="Wingdings" w:hAnsi="Wingdings" w:hint="default"/>
      </w:rPr>
    </w:lvl>
    <w:lvl w:ilvl="3" w:tplc="F3E40238">
      <w:start w:val="1"/>
      <w:numFmt w:val="bullet"/>
      <w:lvlText w:val=""/>
      <w:lvlJc w:val="left"/>
      <w:pPr>
        <w:ind w:left="2880" w:hanging="360"/>
      </w:pPr>
      <w:rPr>
        <w:rFonts w:ascii="Symbol" w:hAnsi="Symbol" w:hint="default"/>
      </w:rPr>
    </w:lvl>
    <w:lvl w:ilvl="4" w:tplc="98B83A70">
      <w:start w:val="1"/>
      <w:numFmt w:val="bullet"/>
      <w:lvlText w:val="o"/>
      <w:lvlJc w:val="left"/>
      <w:pPr>
        <w:ind w:left="3600" w:hanging="360"/>
      </w:pPr>
      <w:rPr>
        <w:rFonts w:ascii="Courier New" w:hAnsi="Courier New" w:hint="default"/>
      </w:rPr>
    </w:lvl>
    <w:lvl w:ilvl="5" w:tplc="2B5E1824">
      <w:start w:val="1"/>
      <w:numFmt w:val="bullet"/>
      <w:lvlText w:val=""/>
      <w:lvlJc w:val="left"/>
      <w:pPr>
        <w:ind w:left="4320" w:hanging="360"/>
      </w:pPr>
      <w:rPr>
        <w:rFonts w:ascii="Wingdings" w:hAnsi="Wingdings" w:hint="default"/>
      </w:rPr>
    </w:lvl>
    <w:lvl w:ilvl="6" w:tplc="979A5EEE">
      <w:start w:val="1"/>
      <w:numFmt w:val="bullet"/>
      <w:lvlText w:val=""/>
      <w:lvlJc w:val="left"/>
      <w:pPr>
        <w:ind w:left="5040" w:hanging="360"/>
      </w:pPr>
      <w:rPr>
        <w:rFonts w:ascii="Symbol" w:hAnsi="Symbol" w:hint="default"/>
      </w:rPr>
    </w:lvl>
    <w:lvl w:ilvl="7" w:tplc="4D0A0548">
      <w:start w:val="1"/>
      <w:numFmt w:val="bullet"/>
      <w:lvlText w:val="o"/>
      <w:lvlJc w:val="left"/>
      <w:pPr>
        <w:ind w:left="5760" w:hanging="360"/>
      </w:pPr>
      <w:rPr>
        <w:rFonts w:ascii="Courier New" w:hAnsi="Courier New" w:hint="default"/>
      </w:rPr>
    </w:lvl>
    <w:lvl w:ilvl="8" w:tplc="D7F0C5D2">
      <w:start w:val="1"/>
      <w:numFmt w:val="bullet"/>
      <w:lvlText w:val=""/>
      <w:lvlJc w:val="left"/>
      <w:pPr>
        <w:ind w:left="6480" w:hanging="360"/>
      </w:pPr>
      <w:rPr>
        <w:rFonts w:ascii="Wingdings" w:hAnsi="Wingdings" w:hint="default"/>
      </w:rPr>
    </w:lvl>
  </w:abstractNum>
  <w:abstractNum w:abstractNumId="5" w15:restartNumberingAfterBreak="0">
    <w:nsid w:val="19840758"/>
    <w:multiLevelType w:val="hybridMultilevel"/>
    <w:tmpl w:val="FFFFFFFF"/>
    <w:lvl w:ilvl="0" w:tplc="B33ED1D0">
      <w:start w:val="1"/>
      <w:numFmt w:val="bullet"/>
      <w:lvlText w:val="·"/>
      <w:lvlJc w:val="left"/>
      <w:pPr>
        <w:ind w:left="720" w:hanging="360"/>
      </w:pPr>
      <w:rPr>
        <w:rFonts w:ascii="Symbol" w:hAnsi="Symbol" w:hint="default"/>
      </w:rPr>
    </w:lvl>
    <w:lvl w:ilvl="1" w:tplc="D12CFE3E">
      <w:start w:val="1"/>
      <w:numFmt w:val="bullet"/>
      <w:lvlText w:val="o"/>
      <w:lvlJc w:val="left"/>
      <w:pPr>
        <w:ind w:left="1440" w:hanging="360"/>
      </w:pPr>
      <w:rPr>
        <w:rFonts w:ascii="Courier New" w:hAnsi="Courier New" w:hint="default"/>
      </w:rPr>
    </w:lvl>
    <w:lvl w:ilvl="2" w:tplc="24A084DC">
      <w:start w:val="1"/>
      <w:numFmt w:val="bullet"/>
      <w:lvlText w:val=""/>
      <w:lvlJc w:val="left"/>
      <w:pPr>
        <w:ind w:left="2160" w:hanging="360"/>
      </w:pPr>
      <w:rPr>
        <w:rFonts w:ascii="Wingdings" w:hAnsi="Wingdings" w:hint="default"/>
      </w:rPr>
    </w:lvl>
    <w:lvl w:ilvl="3" w:tplc="50BA6AF0">
      <w:start w:val="1"/>
      <w:numFmt w:val="bullet"/>
      <w:lvlText w:val=""/>
      <w:lvlJc w:val="left"/>
      <w:pPr>
        <w:ind w:left="2880" w:hanging="360"/>
      </w:pPr>
      <w:rPr>
        <w:rFonts w:ascii="Symbol" w:hAnsi="Symbol" w:hint="default"/>
      </w:rPr>
    </w:lvl>
    <w:lvl w:ilvl="4" w:tplc="09CACC2E">
      <w:start w:val="1"/>
      <w:numFmt w:val="bullet"/>
      <w:lvlText w:val="o"/>
      <w:lvlJc w:val="left"/>
      <w:pPr>
        <w:ind w:left="3600" w:hanging="360"/>
      </w:pPr>
      <w:rPr>
        <w:rFonts w:ascii="Courier New" w:hAnsi="Courier New" w:hint="default"/>
      </w:rPr>
    </w:lvl>
    <w:lvl w:ilvl="5" w:tplc="9A2651D4">
      <w:start w:val="1"/>
      <w:numFmt w:val="bullet"/>
      <w:lvlText w:val=""/>
      <w:lvlJc w:val="left"/>
      <w:pPr>
        <w:ind w:left="4320" w:hanging="360"/>
      </w:pPr>
      <w:rPr>
        <w:rFonts w:ascii="Wingdings" w:hAnsi="Wingdings" w:hint="default"/>
      </w:rPr>
    </w:lvl>
    <w:lvl w:ilvl="6" w:tplc="8F36B05A">
      <w:start w:val="1"/>
      <w:numFmt w:val="bullet"/>
      <w:lvlText w:val=""/>
      <w:lvlJc w:val="left"/>
      <w:pPr>
        <w:ind w:left="5040" w:hanging="360"/>
      </w:pPr>
      <w:rPr>
        <w:rFonts w:ascii="Symbol" w:hAnsi="Symbol" w:hint="default"/>
      </w:rPr>
    </w:lvl>
    <w:lvl w:ilvl="7" w:tplc="1D3CEBCC">
      <w:start w:val="1"/>
      <w:numFmt w:val="bullet"/>
      <w:lvlText w:val="o"/>
      <w:lvlJc w:val="left"/>
      <w:pPr>
        <w:ind w:left="5760" w:hanging="360"/>
      </w:pPr>
      <w:rPr>
        <w:rFonts w:ascii="Courier New" w:hAnsi="Courier New" w:hint="default"/>
      </w:rPr>
    </w:lvl>
    <w:lvl w:ilvl="8" w:tplc="B7C0E6F6">
      <w:start w:val="1"/>
      <w:numFmt w:val="bullet"/>
      <w:lvlText w:val=""/>
      <w:lvlJc w:val="left"/>
      <w:pPr>
        <w:ind w:left="6480" w:hanging="360"/>
      </w:pPr>
      <w:rPr>
        <w:rFonts w:ascii="Wingdings" w:hAnsi="Wingdings" w:hint="default"/>
      </w:rPr>
    </w:lvl>
  </w:abstractNum>
  <w:abstractNum w:abstractNumId="6" w15:restartNumberingAfterBreak="0">
    <w:nsid w:val="1D340392"/>
    <w:multiLevelType w:val="hybridMultilevel"/>
    <w:tmpl w:val="FFFFFFFF"/>
    <w:lvl w:ilvl="0" w:tplc="50542DD0">
      <w:start w:val="1"/>
      <w:numFmt w:val="decimal"/>
      <w:lvlText w:val="%1."/>
      <w:lvlJc w:val="left"/>
      <w:pPr>
        <w:ind w:left="720" w:hanging="360"/>
      </w:pPr>
    </w:lvl>
    <w:lvl w:ilvl="1" w:tplc="E4344AAC">
      <w:start w:val="1"/>
      <w:numFmt w:val="lowerLetter"/>
      <w:lvlText w:val="%2."/>
      <w:lvlJc w:val="left"/>
      <w:pPr>
        <w:ind w:left="1440" w:hanging="360"/>
      </w:pPr>
    </w:lvl>
    <w:lvl w:ilvl="2" w:tplc="32DA523E">
      <w:start w:val="1"/>
      <w:numFmt w:val="lowerRoman"/>
      <w:lvlText w:val="%3."/>
      <w:lvlJc w:val="right"/>
      <w:pPr>
        <w:ind w:left="2160" w:hanging="180"/>
      </w:pPr>
    </w:lvl>
    <w:lvl w:ilvl="3" w:tplc="6BB8DFEE">
      <w:start w:val="1"/>
      <w:numFmt w:val="decimal"/>
      <w:lvlText w:val="%4."/>
      <w:lvlJc w:val="left"/>
      <w:pPr>
        <w:ind w:left="2880" w:hanging="360"/>
      </w:pPr>
    </w:lvl>
    <w:lvl w:ilvl="4" w:tplc="6CAA58E2">
      <w:start w:val="1"/>
      <w:numFmt w:val="lowerLetter"/>
      <w:lvlText w:val="%5."/>
      <w:lvlJc w:val="left"/>
      <w:pPr>
        <w:ind w:left="3600" w:hanging="360"/>
      </w:pPr>
    </w:lvl>
    <w:lvl w:ilvl="5" w:tplc="65DC4528">
      <w:start w:val="1"/>
      <w:numFmt w:val="lowerRoman"/>
      <w:lvlText w:val="%6."/>
      <w:lvlJc w:val="right"/>
      <w:pPr>
        <w:ind w:left="4320" w:hanging="180"/>
      </w:pPr>
    </w:lvl>
    <w:lvl w:ilvl="6" w:tplc="65B4168C">
      <w:start w:val="1"/>
      <w:numFmt w:val="decimal"/>
      <w:lvlText w:val="%7."/>
      <w:lvlJc w:val="left"/>
      <w:pPr>
        <w:ind w:left="5040" w:hanging="360"/>
      </w:pPr>
    </w:lvl>
    <w:lvl w:ilvl="7" w:tplc="5A003384">
      <w:start w:val="1"/>
      <w:numFmt w:val="lowerLetter"/>
      <w:lvlText w:val="%8."/>
      <w:lvlJc w:val="left"/>
      <w:pPr>
        <w:ind w:left="5760" w:hanging="360"/>
      </w:pPr>
    </w:lvl>
    <w:lvl w:ilvl="8" w:tplc="ADF4E58C">
      <w:start w:val="1"/>
      <w:numFmt w:val="lowerRoman"/>
      <w:lvlText w:val="%9."/>
      <w:lvlJc w:val="right"/>
      <w:pPr>
        <w:ind w:left="6480" w:hanging="180"/>
      </w:pPr>
    </w:lvl>
  </w:abstractNum>
  <w:abstractNum w:abstractNumId="7" w15:restartNumberingAfterBreak="0">
    <w:nsid w:val="200E694B"/>
    <w:multiLevelType w:val="hybridMultilevel"/>
    <w:tmpl w:val="FFFFFFFF"/>
    <w:lvl w:ilvl="0" w:tplc="6BC60A00">
      <w:start w:val="1"/>
      <w:numFmt w:val="bullet"/>
      <w:lvlText w:val="·"/>
      <w:lvlJc w:val="left"/>
      <w:pPr>
        <w:ind w:left="720" w:hanging="360"/>
      </w:pPr>
      <w:rPr>
        <w:rFonts w:ascii="Symbol" w:hAnsi="Symbol" w:hint="default"/>
      </w:rPr>
    </w:lvl>
    <w:lvl w:ilvl="1" w:tplc="FCB437A2">
      <w:start w:val="1"/>
      <w:numFmt w:val="bullet"/>
      <w:lvlText w:val="o"/>
      <w:lvlJc w:val="left"/>
      <w:pPr>
        <w:ind w:left="1440" w:hanging="360"/>
      </w:pPr>
      <w:rPr>
        <w:rFonts w:ascii="Courier New" w:hAnsi="Courier New" w:hint="default"/>
      </w:rPr>
    </w:lvl>
    <w:lvl w:ilvl="2" w:tplc="8D98A46E">
      <w:start w:val="1"/>
      <w:numFmt w:val="bullet"/>
      <w:lvlText w:val=""/>
      <w:lvlJc w:val="left"/>
      <w:pPr>
        <w:ind w:left="2160" w:hanging="360"/>
      </w:pPr>
      <w:rPr>
        <w:rFonts w:ascii="Wingdings" w:hAnsi="Wingdings" w:hint="default"/>
      </w:rPr>
    </w:lvl>
    <w:lvl w:ilvl="3" w:tplc="C302E002">
      <w:start w:val="1"/>
      <w:numFmt w:val="bullet"/>
      <w:lvlText w:val=""/>
      <w:lvlJc w:val="left"/>
      <w:pPr>
        <w:ind w:left="2880" w:hanging="360"/>
      </w:pPr>
      <w:rPr>
        <w:rFonts w:ascii="Symbol" w:hAnsi="Symbol" w:hint="default"/>
      </w:rPr>
    </w:lvl>
    <w:lvl w:ilvl="4" w:tplc="2FA41950">
      <w:start w:val="1"/>
      <w:numFmt w:val="bullet"/>
      <w:lvlText w:val="o"/>
      <w:lvlJc w:val="left"/>
      <w:pPr>
        <w:ind w:left="3600" w:hanging="360"/>
      </w:pPr>
      <w:rPr>
        <w:rFonts w:ascii="Courier New" w:hAnsi="Courier New" w:hint="default"/>
      </w:rPr>
    </w:lvl>
    <w:lvl w:ilvl="5" w:tplc="5C5A7B8C">
      <w:start w:val="1"/>
      <w:numFmt w:val="bullet"/>
      <w:lvlText w:val=""/>
      <w:lvlJc w:val="left"/>
      <w:pPr>
        <w:ind w:left="4320" w:hanging="360"/>
      </w:pPr>
      <w:rPr>
        <w:rFonts w:ascii="Wingdings" w:hAnsi="Wingdings" w:hint="default"/>
      </w:rPr>
    </w:lvl>
    <w:lvl w:ilvl="6" w:tplc="1416F9C8">
      <w:start w:val="1"/>
      <w:numFmt w:val="bullet"/>
      <w:lvlText w:val=""/>
      <w:lvlJc w:val="left"/>
      <w:pPr>
        <w:ind w:left="5040" w:hanging="360"/>
      </w:pPr>
      <w:rPr>
        <w:rFonts w:ascii="Symbol" w:hAnsi="Symbol" w:hint="default"/>
      </w:rPr>
    </w:lvl>
    <w:lvl w:ilvl="7" w:tplc="15A013B0">
      <w:start w:val="1"/>
      <w:numFmt w:val="bullet"/>
      <w:lvlText w:val="o"/>
      <w:lvlJc w:val="left"/>
      <w:pPr>
        <w:ind w:left="5760" w:hanging="360"/>
      </w:pPr>
      <w:rPr>
        <w:rFonts w:ascii="Courier New" w:hAnsi="Courier New" w:hint="default"/>
      </w:rPr>
    </w:lvl>
    <w:lvl w:ilvl="8" w:tplc="98C68904">
      <w:start w:val="1"/>
      <w:numFmt w:val="bullet"/>
      <w:lvlText w:val=""/>
      <w:lvlJc w:val="left"/>
      <w:pPr>
        <w:ind w:left="6480" w:hanging="360"/>
      </w:pPr>
      <w:rPr>
        <w:rFonts w:ascii="Wingdings" w:hAnsi="Wingdings" w:hint="default"/>
      </w:rPr>
    </w:lvl>
  </w:abstractNum>
  <w:abstractNum w:abstractNumId="8" w15:restartNumberingAfterBreak="0">
    <w:nsid w:val="208547D6"/>
    <w:multiLevelType w:val="hybridMultilevel"/>
    <w:tmpl w:val="FFFFFFFF"/>
    <w:lvl w:ilvl="0" w:tplc="3856CE60">
      <w:start w:val="1"/>
      <w:numFmt w:val="decimal"/>
      <w:lvlText w:val="%1."/>
      <w:lvlJc w:val="left"/>
      <w:pPr>
        <w:ind w:left="720" w:hanging="360"/>
      </w:pPr>
    </w:lvl>
    <w:lvl w:ilvl="1" w:tplc="EF983560">
      <w:start w:val="1"/>
      <w:numFmt w:val="lowerLetter"/>
      <w:lvlText w:val="%2."/>
      <w:lvlJc w:val="left"/>
      <w:pPr>
        <w:ind w:left="1440" w:hanging="360"/>
      </w:pPr>
    </w:lvl>
    <w:lvl w:ilvl="2" w:tplc="0C206FCC">
      <w:start w:val="1"/>
      <w:numFmt w:val="lowerRoman"/>
      <w:lvlText w:val="%3."/>
      <w:lvlJc w:val="right"/>
      <w:pPr>
        <w:ind w:left="2160" w:hanging="180"/>
      </w:pPr>
    </w:lvl>
    <w:lvl w:ilvl="3" w:tplc="6B2C0A0E">
      <w:start w:val="1"/>
      <w:numFmt w:val="decimal"/>
      <w:lvlText w:val="%4."/>
      <w:lvlJc w:val="left"/>
      <w:pPr>
        <w:ind w:left="2880" w:hanging="360"/>
      </w:pPr>
    </w:lvl>
    <w:lvl w:ilvl="4" w:tplc="279CE1F0">
      <w:start w:val="1"/>
      <w:numFmt w:val="lowerLetter"/>
      <w:lvlText w:val="%5."/>
      <w:lvlJc w:val="left"/>
      <w:pPr>
        <w:ind w:left="3600" w:hanging="360"/>
      </w:pPr>
    </w:lvl>
    <w:lvl w:ilvl="5" w:tplc="3F202A48">
      <w:start w:val="1"/>
      <w:numFmt w:val="lowerRoman"/>
      <w:lvlText w:val="%6."/>
      <w:lvlJc w:val="right"/>
      <w:pPr>
        <w:ind w:left="4320" w:hanging="180"/>
      </w:pPr>
    </w:lvl>
    <w:lvl w:ilvl="6" w:tplc="792270E0">
      <w:start w:val="1"/>
      <w:numFmt w:val="decimal"/>
      <w:lvlText w:val="%7."/>
      <w:lvlJc w:val="left"/>
      <w:pPr>
        <w:ind w:left="5040" w:hanging="360"/>
      </w:pPr>
    </w:lvl>
    <w:lvl w:ilvl="7" w:tplc="A394F5B0">
      <w:start w:val="1"/>
      <w:numFmt w:val="lowerLetter"/>
      <w:lvlText w:val="%8."/>
      <w:lvlJc w:val="left"/>
      <w:pPr>
        <w:ind w:left="5760" w:hanging="360"/>
      </w:pPr>
    </w:lvl>
    <w:lvl w:ilvl="8" w:tplc="065EAD1A">
      <w:start w:val="1"/>
      <w:numFmt w:val="lowerRoman"/>
      <w:lvlText w:val="%9."/>
      <w:lvlJc w:val="right"/>
      <w:pPr>
        <w:ind w:left="6480" w:hanging="180"/>
      </w:pPr>
    </w:lvl>
  </w:abstractNum>
  <w:abstractNum w:abstractNumId="9" w15:restartNumberingAfterBreak="0">
    <w:nsid w:val="228F788D"/>
    <w:multiLevelType w:val="hybridMultilevel"/>
    <w:tmpl w:val="FFFFFFFF"/>
    <w:lvl w:ilvl="0" w:tplc="01EAB07A">
      <w:start w:val="1"/>
      <w:numFmt w:val="bullet"/>
      <w:lvlText w:val="·"/>
      <w:lvlJc w:val="left"/>
      <w:pPr>
        <w:ind w:left="720" w:hanging="360"/>
      </w:pPr>
      <w:rPr>
        <w:rFonts w:ascii="Symbol" w:hAnsi="Symbol" w:hint="default"/>
      </w:rPr>
    </w:lvl>
    <w:lvl w:ilvl="1" w:tplc="EEE08816">
      <w:start w:val="1"/>
      <w:numFmt w:val="bullet"/>
      <w:lvlText w:val="o"/>
      <w:lvlJc w:val="left"/>
      <w:pPr>
        <w:ind w:left="1440" w:hanging="360"/>
      </w:pPr>
      <w:rPr>
        <w:rFonts w:ascii="Courier New" w:hAnsi="Courier New" w:hint="default"/>
      </w:rPr>
    </w:lvl>
    <w:lvl w:ilvl="2" w:tplc="4CFE42E8">
      <w:start w:val="1"/>
      <w:numFmt w:val="bullet"/>
      <w:lvlText w:val=""/>
      <w:lvlJc w:val="left"/>
      <w:pPr>
        <w:ind w:left="2160" w:hanging="360"/>
      </w:pPr>
      <w:rPr>
        <w:rFonts w:ascii="Wingdings" w:hAnsi="Wingdings" w:hint="default"/>
      </w:rPr>
    </w:lvl>
    <w:lvl w:ilvl="3" w:tplc="4634BBA2">
      <w:start w:val="1"/>
      <w:numFmt w:val="bullet"/>
      <w:lvlText w:val=""/>
      <w:lvlJc w:val="left"/>
      <w:pPr>
        <w:ind w:left="2880" w:hanging="360"/>
      </w:pPr>
      <w:rPr>
        <w:rFonts w:ascii="Symbol" w:hAnsi="Symbol" w:hint="default"/>
      </w:rPr>
    </w:lvl>
    <w:lvl w:ilvl="4" w:tplc="CEE4BD08">
      <w:start w:val="1"/>
      <w:numFmt w:val="bullet"/>
      <w:lvlText w:val="o"/>
      <w:lvlJc w:val="left"/>
      <w:pPr>
        <w:ind w:left="3600" w:hanging="360"/>
      </w:pPr>
      <w:rPr>
        <w:rFonts w:ascii="Courier New" w:hAnsi="Courier New" w:hint="default"/>
      </w:rPr>
    </w:lvl>
    <w:lvl w:ilvl="5" w:tplc="65BC6B36">
      <w:start w:val="1"/>
      <w:numFmt w:val="bullet"/>
      <w:lvlText w:val=""/>
      <w:lvlJc w:val="left"/>
      <w:pPr>
        <w:ind w:left="4320" w:hanging="360"/>
      </w:pPr>
      <w:rPr>
        <w:rFonts w:ascii="Wingdings" w:hAnsi="Wingdings" w:hint="default"/>
      </w:rPr>
    </w:lvl>
    <w:lvl w:ilvl="6" w:tplc="97C84E30">
      <w:start w:val="1"/>
      <w:numFmt w:val="bullet"/>
      <w:lvlText w:val=""/>
      <w:lvlJc w:val="left"/>
      <w:pPr>
        <w:ind w:left="5040" w:hanging="360"/>
      </w:pPr>
      <w:rPr>
        <w:rFonts w:ascii="Symbol" w:hAnsi="Symbol" w:hint="default"/>
      </w:rPr>
    </w:lvl>
    <w:lvl w:ilvl="7" w:tplc="0CD6C734">
      <w:start w:val="1"/>
      <w:numFmt w:val="bullet"/>
      <w:lvlText w:val="o"/>
      <w:lvlJc w:val="left"/>
      <w:pPr>
        <w:ind w:left="5760" w:hanging="360"/>
      </w:pPr>
      <w:rPr>
        <w:rFonts w:ascii="Courier New" w:hAnsi="Courier New" w:hint="default"/>
      </w:rPr>
    </w:lvl>
    <w:lvl w:ilvl="8" w:tplc="CF8CBDFE">
      <w:start w:val="1"/>
      <w:numFmt w:val="bullet"/>
      <w:lvlText w:val=""/>
      <w:lvlJc w:val="left"/>
      <w:pPr>
        <w:ind w:left="6480" w:hanging="360"/>
      </w:pPr>
      <w:rPr>
        <w:rFonts w:ascii="Wingdings" w:hAnsi="Wingdings" w:hint="default"/>
      </w:rPr>
    </w:lvl>
  </w:abstractNum>
  <w:abstractNum w:abstractNumId="10" w15:restartNumberingAfterBreak="0">
    <w:nsid w:val="33AE5B76"/>
    <w:multiLevelType w:val="hybridMultilevel"/>
    <w:tmpl w:val="FFFFFFFF"/>
    <w:lvl w:ilvl="0" w:tplc="2B12D488">
      <w:start w:val="1"/>
      <w:numFmt w:val="bullet"/>
      <w:lvlText w:val="·"/>
      <w:lvlJc w:val="left"/>
      <w:pPr>
        <w:ind w:left="720" w:hanging="360"/>
      </w:pPr>
      <w:rPr>
        <w:rFonts w:ascii="Symbol" w:hAnsi="Symbol" w:hint="default"/>
      </w:rPr>
    </w:lvl>
    <w:lvl w:ilvl="1" w:tplc="19264324">
      <w:start w:val="1"/>
      <w:numFmt w:val="bullet"/>
      <w:lvlText w:val="o"/>
      <w:lvlJc w:val="left"/>
      <w:pPr>
        <w:ind w:left="1440" w:hanging="360"/>
      </w:pPr>
      <w:rPr>
        <w:rFonts w:ascii="Courier New" w:hAnsi="Courier New" w:hint="default"/>
      </w:rPr>
    </w:lvl>
    <w:lvl w:ilvl="2" w:tplc="44BC7122">
      <w:start w:val="1"/>
      <w:numFmt w:val="bullet"/>
      <w:lvlText w:val=""/>
      <w:lvlJc w:val="left"/>
      <w:pPr>
        <w:ind w:left="2160" w:hanging="360"/>
      </w:pPr>
      <w:rPr>
        <w:rFonts w:ascii="Wingdings" w:hAnsi="Wingdings" w:hint="default"/>
      </w:rPr>
    </w:lvl>
    <w:lvl w:ilvl="3" w:tplc="B9BE6340">
      <w:start w:val="1"/>
      <w:numFmt w:val="bullet"/>
      <w:lvlText w:val=""/>
      <w:lvlJc w:val="left"/>
      <w:pPr>
        <w:ind w:left="2880" w:hanging="360"/>
      </w:pPr>
      <w:rPr>
        <w:rFonts w:ascii="Symbol" w:hAnsi="Symbol" w:hint="default"/>
      </w:rPr>
    </w:lvl>
    <w:lvl w:ilvl="4" w:tplc="FB3E2AEC">
      <w:start w:val="1"/>
      <w:numFmt w:val="bullet"/>
      <w:lvlText w:val="o"/>
      <w:lvlJc w:val="left"/>
      <w:pPr>
        <w:ind w:left="3600" w:hanging="360"/>
      </w:pPr>
      <w:rPr>
        <w:rFonts w:ascii="Courier New" w:hAnsi="Courier New" w:hint="default"/>
      </w:rPr>
    </w:lvl>
    <w:lvl w:ilvl="5" w:tplc="0F12AB98">
      <w:start w:val="1"/>
      <w:numFmt w:val="bullet"/>
      <w:lvlText w:val=""/>
      <w:lvlJc w:val="left"/>
      <w:pPr>
        <w:ind w:left="4320" w:hanging="360"/>
      </w:pPr>
      <w:rPr>
        <w:rFonts w:ascii="Wingdings" w:hAnsi="Wingdings" w:hint="default"/>
      </w:rPr>
    </w:lvl>
    <w:lvl w:ilvl="6" w:tplc="4FEA32F6">
      <w:start w:val="1"/>
      <w:numFmt w:val="bullet"/>
      <w:lvlText w:val=""/>
      <w:lvlJc w:val="left"/>
      <w:pPr>
        <w:ind w:left="5040" w:hanging="360"/>
      </w:pPr>
      <w:rPr>
        <w:rFonts w:ascii="Symbol" w:hAnsi="Symbol" w:hint="default"/>
      </w:rPr>
    </w:lvl>
    <w:lvl w:ilvl="7" w:tplc="92AEC69C">
      <w:start w:val="1"/>
      <w:numFmt w:val="bullet"/>
      <w:lvlText w:val="o"/>
      <w:lvlJc w:val="left"/>
      <w:pPr>
        <w:ind w:left="5760" w:hanging="360"/>
      </w:pPr>
      <w:rPr>
        <w:rFonts w:ascii="Courier New" w:hAnsi="Courier New" w:hint="default"/>
      </w:rPr>
    </w:lvl>
    <w:lvl w:ilvl="8" w:tplc="FE9C3D4C">
      <w:start w:val="1"/>
      <w:numFmt w:val="bullet"/>
      <w:lvlText w:val=""/>
      <w:lvlJc w:val="left"/>
      <w:pPr>
        <w:ind w:left="6480" w:hanging="360"/>
      </w:pPr>
      <w:rPr>
        <w:rFonts w:ascii="Wingdings" w:hAnsi="Wingdings" w:hint="default"/>
      </w:rPr>
    </w:lvl>
  </w:abstractNum>
  <w:abstractNum w:abstractNumId="11" w15:restartNumberingAfterBreak="0">
    <w:nsid w:val="40BE0130"/>
    <w:multiLevelType w:val="hybridMultilevel"/>
    <w:tmpl w:val="FFFFFFFF"/>
    <w:lvl w:ilvl="0" w:tplc="721AC070">
      <w:start w:val="1"/>
      <w:numFmt w:val="bullet"/>
      <w:lvlText w:val="·"/>
      <w:lvlJc w:val="left"/>
      <w:pPr>
        <w:ind w:left="720" w:hanging="360"/>
      </w:pPr>
      <w:rPr>
        <w:rFonts w:ascii="Symbol" w:hAnsi="Symbol" w:hint="default"/>
      </w:rPr>
    </w:lvl>
    <w:lvl w:ilvl="1" w:tplc="2BEEBAFE">
      <w:start w:val="1"/>
      <w:numFmt w:val="bullet"/>
      <w:lvlText w:val="o"/>
      <w:lvlJc w:val="left"/>
      <w:pPr>
        <w:ind w:left="1440" w:hanging="360"/>
      </w:pPr>
      <w:rPr>
        <w:rFonts w:ascii="Courier New" w:hAnsi="Courier New" w:hint="default"/>
      </w:rPr>
    </w:lvl>
    <w:lvl w:ilvl="2" w:tplc="37FC4666">
      <w:start w:val="1"/>
      <w:numFmt w:val="bullet"/>
      <w:lvlText w:val=""/>
      <w:lvlJc w:val="left"/>
      <w:pPr>
        <w:ind w:left="2160" w:hanging="360"/>
      </w:pPr>
      <w:rPr>
        <w:rFonts w:ascii="Wingdings" w:hAnsi="Wingdings" w:hint="default"/>
      </w:rPr>
    </w:lvl>
    <w:lvl w:ilvl="3" w:tplc="339894AE">
      <w:start w:val="1"/>
      <w:numFmt w:val="bullet"/>
      <w:lvlText w:val=""/>
      <w:lvlJc w:val="left"/>
      <w:pPr>
        <w:ind w:left="2880" w:hanging="360"/>
      </w:pPr>
      <w:rPr>
        <w:rFonts w:ascii="Symbol" w:hAnsi="Symbol" w:hint="default"/>
      </w:rPr>
    </w:lvl>
    <w:lvl w:ilvl="4" w:tplc="70BC56D6">
      <w:start w:val="1"/>
      <w:numFmt w:val="bullet"/>
      <w:lvlText w:val="o"/>
      <w:lvlJc w:val="left"/>
      <w:pPr>
        <w:ind w:left="3600" w:hanging="360"/>
      </w:pPr>
      <w:rPr>
        <w:rFonts w:ascii="Courier New" w:hAnsi="Courier New" w:hint="default"/>
      </w:rPr>
    </w:lvl>
    <w:lvl w:ilvl="5" w:tplc="A6F82CAC">
      <w:start w:val="1"/>
      <w:numFmt w:val="bullet"/>
      <w:lvlText w:val=""/>
      <w:lvlJc w:val="left"/>
      <w:pPr>
        <w:ind w:left="4320" w:hanging="360"/>
      </w:pPr>
      <w:rPr>
        <w:rFonts w:ascii="Wingdings" w:hAnsi="Wingdings" w:hint="default"/>
      </w:rPr>
    </w:lvl>
    <w:lvl w:ilvl="6" w:tplc="2C2E4214">
      <w:start w:val="1"/>
      <w:numFmt w:val="bullet"/>
      <w:lvlText w:val=""/>
      <w:lvlJc w:val="left"/>
      <w:pPr>
        <w:ind w:left="5040" w:hanging="360"/>
      </w:pPr>
      <w:rPr>
        <w:rFonts w:ascii="Symbol" w:hAnsi="Symbol" w:hint="default"/>
      </w:rPr>
    </w:lvl>
    <w:lvl w:ilvl="7" w:tplc="7F429D3E">
      <w:start w:val="1"/>
      <w:numFmt w:val="bullet"/>
      <w:lvlText w:val="o"/>
      <w:lvlJc w:val="left"/>
      <w:pPr>
        <w:ind w:left="5760" w:hanging="360"/>
      </w:pPr>
      <w:rPr>
        <w:rFonts w:ascii="Courier New" w:hAnsi="Courier New" w:hint="default"/>
      </w:rPr>
    </w:lvl>
    <w:lvl w:ilvl="8" w:tplc="D9E6E4E6">
      <w:start w:val="1"/>
      <w:numFmt w:val="bullet"/>
      <w:lvlText w:val=""/>
      <w:lvlJc w:val="left"/>
      <w:pPr>
        <w:ind w:left="6480" w:hanging="360"/>
      </w:pPr>
      <w:rPr>
        <w:rFonts w:ascii="Wingdings" w:hAnsi="Wingdings" w:hint="default"/>
      </w:rPr>
    </w:lvl>
  </w:abstractNum>
  <w:abstractNum w:abstractNumId="12" w15:restartNumberingAfterBreak="0">
    <w:nsid w:val="48C43865"/>
    <w:multiLevelType w:val="hybridMultilevel"/>
    <w:tmpl w:val="FFFFFFFF"/>
    <w:lvl w:ilvl="0" w:tplc="8468F35A">
      <w:start w:val="1"/>
      <w:numFmt w:val="decimal"/>
      <w:lvlText w:val="%1."/>
      <w:lvlJc w:val="left"/>
      <w:pPr>
        <w:ind w:left="720" w:hanging="360"/>
      </w:pPr>
    </w:lvl>
    <w:lvl w:ilvl="1" w:tplc="83FAAF1C">
      <w:start w:val="1"/>
      <w:numFmt w:val="lowerLetter"/>
      <w:lvlText w:val="%2."/>
      <w:lvlJc w:val="left"/>
      <w:pPr>
        <w:ind w:left="1440" w:hanging="360"/>
      </w:pPr>
    </w:lvl>
    <w:lvl w:ilvl="2" w:tplc="401E3AB0">
      <w:start w:val="1"/>
      <w:numFmt w:val="lowerRoman"/>
      <w:lvlText w:val="%3."/>
      <w:lvlJc w:val="right"/>
      <w:pPr>
        <w:ind w:left="2160" w:hanging="180"/>
      </w:pPr>
    </w:lvl>
    <w:lvl w:ilvl="3" w:tplc="DDB0676A">
      <w:start w:val="1"/>
      <w:numFmt w:val="decimal"/>
      <w:lvlText w:val="%4."/>
      <w:lvlJc w:val="left"/>
      <w:pPr>
        <w:ind w:left="2880" w:hanging="360"/>
      </w:pPr>
    </w:lvl>
    <w:lvl w:ilvl="4" w:tplc="D11A4D42">
      <w:start w:val="1"/>
      <w:numFmt w:val="lowerLetter"/>
      <w:lvlText w:val="%5."/>
      <w:lvlJc w:val="left"/>
      <w:pPr>
        <w:ind w:left="3600" w:hanging="360"/>
      </w:pPr>
    </w:lvl>
    <w:lvl w:ilvl="5" w:tplc="334431B2">
      <w:start w:val="1"/>
      <w:numFmt w:val="lowerRoman"/>
      <w:lvlText w:val="%6."/>
      <w:lvlJc w:val="right"/>
      <w:pPr>
        <w:ind w:left="4320" w:hanging="180"/>
      </w:pPr>
    </w:lvl>
    <w:lvl w:ilvl="6" w:tplc="C1C8A686">
      <w:start w:val="1"/>
      <w:numFmt w:val="decimal"/>
      <w:lvlText w:val="%7."/>
      <w:lvlJc w:val="left"/>
      <w:pPr>
        <w:ind w:left="5040" w:hanging="360"/>
      </w:pPr>
    </w:lvl>
    <w:lvl w:ilvl="7" w:tplc="062ABBE8">
      <w:start w:val="1"/>
      <w:numFmt w:val="lowerLetter"/>
      <w:lvlText w:val="%8."/>
      <w:lvlJc w:val="left"/>
      <w:pPr>
        <w:ind w:left="5760" w:hanging="360"/>
      </w:pPr>
    </w:lvl>
    <w:lvl w:ilvl="8" w:tplc="565437C4">
      <w:start w:val="1"/>
      <w:numFmt w:val="lowerRoman"/>
      <w:lvlText w:val="%9."/>
      <w:lvlJc w:val="right"/>
      <w:pPr>
        <w:ind w:left="6480" w:hanging="180"/>
      </w:pPr>
    </w:lvl>
  </w:abstractNum>
  <w:abstractNum w:abstractNumId="13" w15:restartNumberingAfterBreak="0">
    <w:nsid w:val="5656720F"/>
    <w:multiLevelType w:val="hybridMultilevel"/>
    <w:tmpl w:val="FFFFFFFF"/>
    <w:lvl w:ilvl="0" w:tplc="D304FAC0">
      <w:start w:val="1"/>
      <w:numFmt w:val="decimal"/>
      <w:lvlText w:val="%1."/>
      <w:lvlJc w:val="left"/>
      <w:pPr>
        <w:ind w:left="720" w:hanging="360"/>
      </w:pPr>
    </w:lvl>
    <w:lvl w:ilvl="1" w:tplc="1F263B92">
      <w:start w:val="1"/>
      <w:numFmt w:val="lowerLetter"/>
      <w:lvlText w:val="%2."/>
      <w:lvlJc w:val="left"/>
      <w:pPr>
        <w:ind w:left="1440" w:hanging="360"/>
      </w:pPr>
    </w:lvl>
    <w:lvl w:ilvl="2" w:tplc="DED66640">
      <w:start w:val="1"/>
      <w:numFmt w:val="lowerRoman"/>
      <w:lvlText w:val="%3."/>
      <w:lvlJc w:val="right"/>
      <w:pPr>
        <w:ind w:left="2160" w:hanging="180"/>
      </w:pPr>
    </w:lvl>
    <w:lvl w:ilvl="3" w:tplc="1910D24A">
      <w:start w:val="1"/>
      <w:numFmt w:val="decimal"/>
      <w:lvlText w:val="%4."/>
      <w:lvlJc w:val="left"/>
      <w:pPr>
        <w:ind w:left="2880" w:hanging="360"/>
      </w:pPr>
    </w:lvl>
    <w:lvl w:ilvl="4" w:tplc="E1C62D36">
      <w:start w:val="1"/>
      <w:numFmt w:val="lowerLetter"/>
      <w:lvlText w:val="%5."/>
      <w:lvlJc w:val="left"/>
      <w:pPr>
        <w:ind w:left="3600" w:hanging="360"/>
      </w:pPr>
    </w:lvl>
    <w:lvl w:ilvl="5" w:tplc="F07449F6">
      <w:start w:val="1"/>
      <w:numFmt w:val="lowerRoman"/>
      <w:lvlText w:val="%6."/>
      <w:lvlJc w:val="right"/>
      <w:pPr>
        <w:ind w:left="4320" w:hanging="180"/>
      </w:pPr>
    </w:lvl>
    <w:lvl w:ilvl="6" w:tplc="D212A6F8">
      <w:start w:val="1"/>
      <w:numFmt w:val="decimal"/>
      <w:lvlText w:val="%7."/>
      <w:lvlJc w:val="left"/>
      <w:pPr>
        <w:ind w:left="5040" w:hanging="360"/>
      </w:pPr>
    </w:lvl>
    <w:lvl w:ilvl="7" w:tplc="E662DF60">
      <w:start w:val="1"/>
      <w:numFmt w:val="lowerLetter"/>
      <w:lvlText w:val="%8."/>
      <w:lvlJc w:val="left"/>
      <w:pPr>
        <w:ind w:left="5760" w:hanging="360"/>
      </w:pPr>
    </w:lvl>
    <w:lvl w:ilvl="8" w:tplc="EF029EE6">
      <w:start w:val="1"/>
      <w:numFmt w:val="lowerRoman"/>
      <w:lvlText w:val="%9."/>
      <w:lvlJc w:val="right"/>
      <w:pPr>
        <w:ind w:left="6480" w:hanging="180"/>
      </w:pPr>
    </w:lvl>
  </w:abstractNum>
  <w:abstractNum w:abstractNumId="14" w15:restartNumberingAfterBreak="0">
    <w:nsid w:val="56D914AE"/>
    <w:multiLevelType w:val="hybridMultilevel"/>
    <w:tmpl w:val="FFFFFFFF"/>
    <w:lvl w:ilvl="0" w:tplc="1038A368">
      <w:start w:val="1"/>
      <w:numFmt w:val="bullet"/>
      <w:lvlText w:val="·"/>
      <w:lvlJc w:val="left"/>
      <w:pPr>
        <w:ind w:left="720" w:hanging="360"/>
      </w:pPr>
      <w:rPr>
        <w:rFonts w:ascii="Symbol" w:hAnsi="Symbol" w:hint="default"/>
      </w:rPr>
    </w:lvl>
    <w:lvl w:ilvl="1" w:tplc="69A69704">
      <w:start w:val="1"/>
      <w:numFmt w:val="bullet"/>
      <w:lvlText w:val="o"/>
      <w:lvlJc w:val="left"/>
      <w:pPr>
        <w:ind w:left="1440" w:hanging="360"/>
      </w:pPr>
      <w:rPr>
        <w:rFonts w:ascii="Courier New" w:hAnsi="Courier New" w:hint="default"/>
      </w:rPr>
    </w:lvl>
    <w:lvl w:ilvl="2" w:tplc="FBD6F484">
      <w:start w:val="1"/>
      <w:numFmt w:val="bullet"/>
      <w:lvlText w:val=""/>
      <w:lvlJc w:val="left"/>
      <w:pPr>
        <w:ind w:left="2160" w:hanging="360"/>
      </w:pPr>
      <w:rPr>
        <w:rFonts w:ascii="Wingdings" w:hAnsi="Wingdings" w:hint="default"/>
      </w:rPr>
    </w:lvl>
    <w:lvl w:ilvl="3" w:tplc="17789ED6">
      <w:start w:val="1"/>
      <w:numFmt w:val="bullet"/>
      <w:lvlText w:val=""/>
      <w:lvlJc w:val="left"/>
      <w:pPr>
        <w:ind w:left="2880" w:hanging="360"/>
      </w:pPr>
      <w:rPr>
        <w:rFonts w:ascii="Symbol" w:hAnsi="Symbol" w:hint="default"/>
      </w:rPr>
    </w:lvl>
    <w:lvl w:ilvl="4" w:tplc="E52EC714">
      <w:start w:val="1"/>
      <w:numFmt w:val="bullet"/>
      <w:lvlText w:val="o"/>
      <w:lvlJc w:val="left"/>
      <w:pPr>
        <w:ind w:left="3600" w:hanging="360"/>
      </w:pPr>
      <w:rPr>
        <w:rFonts w:ascii="Courier New" w:hAnsi="Courier New" w:hint="default"/>
      </w:rPr>
    </w:lvl>
    <w:lvl w:ilvl="5" w:tplc="DF7E8B94">
      <w:start w:val="1"/>
      <w:numFmt w:val="bullet"/>
      <w:lvlText w:val=""/>
      <w:lvlJc w:val="left"/>
      <w:pPr>
        <w:ind w:left="4320" w:hanging="360"/>
      </w:pPr>
      <w:rPr>
        <w:rFonts w:ascii="Wingdings" w:hAnsi="Wingdings" w:hint="default"/>
      </w:rPr>
    </w:lvl>
    <w:lvl w:ilvl="6" w:tplc="118EBC42">
      <w:start w:val="1"/>
      <w:numFmt w:val="bullet"/>
      <w:lvlText w:val=""/>
      <w:lvlJc w:val="left"/>
      <w:pPr>
        <w:ind w:left="5040" w:hanging="360"/>
      </w:pPr>
      <w:rPr>
        <w:rFonts w:ascii="Symbol" w:hAnsi="Symbol" w:hint="default"/>
      </w:rPr>
    </w:lvl>
    <w:lvl w:ilvl="7" w:tplc="E626F022">
      <w:start w:val="1"/>
      <w:numFmt w:val="bullet"/>
      <w:lvlText w:val="o"/>
      <w:lvlJc w:val="left"/>
      <w:pPr>
        <w:ind w:left="5760" w:hanging="360"/>
      </w:pPr>
      <w:rPr>
        <w:rFonts w:ascii="Courier New" w:hAnsi="Courier New" w:hint="default"/>
      </w:rPr>
    </w:lvl>
    <w:lvl w:ilvl="8" w:tplc="E7B487B0">
      <w:start w:val="1"/>
      <w:numFmt w:val="bullet"/>
      <w:lvlText w:val=""/>
      <w:lvlJc w:val="left"/>
      <w:pPr>
        <w:ind w:left="6480" w:hanging="360"/>
      </w:pPr>
      <w:rPr>
        <w:rFonts w:ascii="Wingdings" w:hAnsi="Wingdings" w:hint="default"/>
      </w:rPr>
    </w:lvl>
  </w:abstractNum>
  <w:abstractNum w:abstractNumId="15" w15:restartNumberingAfterBreak="0">
    <w:nsid w:val="59C65B1D"/>
    <w:multiLevelType w:val="hybridMultilevel"/>
    <w:tmpl w:val="FFFFFFFF"/>
    <w:lvl w:ilvl="0" w:tplc="40EC0270">
      <w:start w:val="1"/>
      <w:numFmt w:val="decimal"/>
      <w:lvlText w:val="%1."/>
      <w:lvlJc w:val="left"/>
      <w:pPr>
        <w:ind w:left="720" w:hanging="360"/>
      </w:pPr>
    </w:lvl>
    <w:lvl w:ilvl="1" w:tplc="C478D216">
      <w:start w:val="1"/>
      <w:numFmt w:val="lowerLetter"/>
      <w:lvlText w:val="%2."/>
      <w:lvlJc w:val="left"/>
      <w:pPr>
        <w:ind w:left="1440" w:hanging="360"/>
      </w:pPr>
    </w:lvl>
    <w:lvl w:ilvl="2" w:tplc="43E2AEA0">
      <w:start w:val="1"/>
      <w:numFmt w:val="lowerRoman"/>
      <w:lvlText w:val="%3."/>
      <w:lvlJc w:val="right"/>
      <w:pPr>
        <w:ind w:left="2160" w:hanging="180"/>
      </w:pPr>
    </w:lvl>
    <w:lvl w:ilvl="3" w:tplc="A27045A0">
      <w:start w:val="1"/>
      <w:numFmt w:val="decimal"/>
      <w:lvlText w:val="%4."/>
      <w:lvlJc w:val="left"/>
      <w:pPr>
        <w:ind w:left="2880" w:hanging="360"/>
      </w:pPr>
    </w:lvl>
    <w:lvl w:ilvl="4" w:tplc="91480AF2">
      <w:start w:val="1"/>
      <w:numFmt w:val="lowerLetter"/>
      <w:lvlText w:val="%5."/>
      <w:lvlJc w:val="left"/>
      <w:pPr>
        <w:ind w:left="3600" w:hanging="360"/>
      </w:pPr>
    </w:lvl>
    <w:lvl w:ilvl="5" w:tplc="242CF898">
      <w:start w:val="1"/>
      <w:numFmt w:val="lowerRoman"/>
      <w:lvlText w:val="%6."/>
      <w:lvlJc w:val="right"/>
      <w:pPr>
        <w:ind w:left="4320" w:hanging="180"/>
      </w:pPr>
    </w:lvl>
    <w:lvl w:ilvl="6" w:tplc="9ED24858">
      <w:start w:val="1"/>
      <w:numFmt w:val="decimal"/>
      <w:lvlText w:val="%7."/>
      <w:lvlJc w:val="left"/>
      <w:pPr>
        <w:ind w:left="5040" w:hanging="360"/>
      </w:pPr>
    </w:lvl>
    <w:lvl w:ilvl="7" w:tplc="A5342980">
      <w:start w:val="1"/>
      <w:numFmt w:val="lowerLetter"/>
      <w:lvlText w:val="%8."/>
      <w:lvlJc w:val="left"/>
      <w:pPr>
        <w:ind w:left="5760" w:hanging="360"/>
      </w:pPr>
    </w:lvl>
    <w:lvl w:ilvl="8" w:tplc="88467BE6">
      <w:start w:val="1"/>
      <w:numFmt w:val="lowerRoman"/>
      <w:lvlText w:val="%9."/>
      <w:lvlJc w:val="right"/>
      <w:pPr>
        <w:ind w:left="6480" w:hanging="180"/>
      </w:pPr>
    </w:lvl>
  </w:abstractNum>
  <w:abstractNum w:abstractNumId="16" w15:restartNumberingAfterBreak="0">
    <w:nsid w:val="5B232300"/>
    <w:multiLevelType w:val="hybridMultilevel"/>
    <w:tmpl w:val="FFFFFFFF"/>
    <w:lvl w:ilvl="0" w:tplc="D95AF354">
      <w:start w:val="1"/>
      <w:numFmt w:val="decimal"/>
      <w:lvlText w:val="%1."/>
      <w:lvlJc w:val="left"/>
      <w:pPr>
        <w:ind w:left="720" w:hanging="360"/>
      </w:pPr>
    </w:lvl>
    <w:lvl w:ilvl="1" w:tplc="64EAEC62">
      <w:start w:val="1"/>
      <w:numFmt w:val="lowerLetter"/>
      <w:lvlText w:val="%2."/>
      <w:lvlJc w:val="left"/>
      <w:pPr>
        <w:ind w:left="1440" w:hanging="360"/>
      </w:pPr>
    </w:lvl>
    <w:lvl w:ilvl="2" w:tplc="F45C27CA">
      <w:start w:val="1"/>
      <w:numFmt w:val="lowerRoman"/>
      <w:lvlText w:val="%3."/>
      <w:lvlJc w:val="right"/>
      <w:pPr>
        <w:ind w:left="2160" w:hanging="180"/>
      </w:pPr>
    </w:lvl>
    <w:lvl w:ilvl="3" w:tplc="DEAE4F12">
      <w:start w:val="1"/>
      <w:numFmt w:val="decimal"/>
      <w:lvlText w:val="%4."/>
      <w:lvlJc w:val="left"/>
      <w:pPr>
        <w:ind w:left="2880" w:hanging="360"/>
      </w:pPr>
    </w:lvl>
    <w:lvl w:ilvl="4" w:tplc="DEB6A504">
      <w:start w:val="1"/>
      <w:numFmt w:val="lowerLetter"/>
      <w:lvlText w:val="%5."/>
      <w:lvlJc w:val="left"/>
      <w:pPr>
        <w:ind w:left="3600" w:hanging="360"/>
      </w:pPr>
    </w:lvl>
    <w:lvl w:ilvl="5" w:tplc="0D527DC6">
      <w:start w:val="1"/>
      <w:numFmt w:val="lowerRoman"/>
      <w:lvlText w:val="%6."/>
      <w:lvlJc w:val="right"/>
      <w:pPr>
        <w:ind w:left="4320" w:hanging="180"/>
      </w:pPr>
    </w:lvl>
    <w:lvl w:ilvl="6" w:tplc="92A088FA">
      <w:start w:val="1"/>
      <w:numFmt w:val="decimal"/>
      <w:lvlText w:val="%7."/>
      <w:lvlJc w:val="left"/>
      <w:pPr>
        <w:ind w:left="5040" w:hanging="360"/>
      </w:pPr>
    </w:lvl>
    <w:lvl w:ilvl="7" w:tplc="6706B5EE">
      <w:start w:val="1"/>
      <w:numFmt w:val="lowerLetter"/>
      <w:lvlText w:val="%8."/>
      <w:lvlJc w:val="left"/>
      <w:pPr>
        <w:ind w:left="5760" w:hanging="360"/>
      </w:pPr>
    </w:lvl>
    <w:lvl w:ilvl="8" w:tplc="F44EFA50">
      <w:start w:val="1"/>
      <w:numFmt w:val="lowerRoman"/>
      <w:lvlText w:val="%9."/>
      <w:lvlJc w:val="right"/>
      <w:pPr>
        <w:ind w:left="6480" w:hanging="180"/>
      </w:pPr>
    </w:lvl>
  </w:abstractNum>
  <w:abstractNum w:abstractNumId="17" w15:restartNumberingAfterBreak="0">
    <w:nsid w:val="5ED423A5"/>
    <w:multiLevelType w:val="hybridMultilevel"/>
    <w:tmpl w:val="0AA60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9108A0"/>
    <w:multiLevelType w:val="hybridMultilevel"/>
    <w:tmpl w:val="FFFFFFFF"/>
    <w:lvl w:ilvl="0" w:tplc="2772A226">
      <w:start w:val="1"/>
      <w:numFmt w:val="bullet"/>
      <w:lvlText w:val="·"/>
      <w:lvlJc w:val="left"/>
      <w:pPr>
        <w:ind w:left="720" w:hanging="360"/>
      </w:pPr>
      <w:rPr>
        <w:rFonts w:ascii="Symbol" w:hAnsi="Symbol" w:hint="default"/>
      </w:rPr>
    </w:lvl>
    <w:lvl w:ilvl="1" w:tplc="301857C6">
      <w:start w:val="1"/>
      <w:numFmt w:val="bullet"/>
      <w:lvlText w:val="o"/>
      <w:lvlJc w:val="left"/>
      <w:pPr>
        <w:ind w:left="1440" w:hanging="360"/>
      </w:pPr>
      <w:rPr>
        <w:rFonts w:ascii="Courier New" w:hAnsi="Courier New" w:hint="default"/>
      </w:rPr>
    </w:lvl>
    <w:lvl w:ilvl="2" w:tplc="AC18B262">
      <w:start w:val="1"/>
      <w:numFmt w:val="bullet"/>
      <w:lvlText w:val=""/>
      <w:lvlJc w:val="left"/>
      <w:pPr>
        <w:ind w:left="2160" w:hanging="360"/>
      </w:pPr>
      <w:rPr>
        <w:rFonts w:ascii="Wingdings" w:hAnsi="Wingdings" w:hint="default"/>
      </w:rPr>
    </w:lvl>
    <w:lvl w:ilvl="3" w:tplc="0D50086A">
      <w:start w:val="1"/>
      <w:numFmt w:val="bullet"/>
      <w:lvlText w:val=""/>
      <w:lvlJc w:val="left"/>
      <w:pPr>
        <w:ind w:left="2880" w:hanging="360"/>
      </w:pPr>
      <w:rPr>
        <w:rFonts w:ascii="Symbol" w:hAnsi="Symbol" w:hint="default"/>
      </w:rPr>
    </w:lvl>
    <w:lvl w:ilvl="4" w:tplc="478AF794">
      <w:start w:val="1"/>
      <w:numFmt w:val="bullet"/>
      <w:lvlText w:val="o"/>
      <w:lvlJc w:val="left"/>
      <w:pPr>
        <w:ind w:left="3600" w:hanging="360"/>
      </w:pPr>
      <w:rPr>
        <w:rFonts w:ascii="Courier New" w:hAnsi="Courier New" w:hint="default"/>
      </w:rPr>
    </w:lvl>
    <w:lvl w:ilvl="5" w:tplc="B274B190">
      <w:start w:val="1"/>
      <w:numFmt w:val="bullet"/>
      <w:lvlText w:val=""/>
      <w:lvlJc w:val="left"/>
      <w:pPr>
        <w:ind w:left="4320" w:hanging="360"/>
      </w:pPr>
      <w:rPr>
        <w:rFonts w:ascii="Wingdings" w:hAnsi="Wingdings" w:hint="default"/>
      </w:rPr>
    </w:lvl>
    <w:lvl w:ilvl="6" w:tplc="7D8CEEF4">
      <w:start w:val="1"/>
      <w:numFmt w:val="bullet"/>
      <w:lvlText w:val=""/>
      <w:lvlJc w:val="left"/>
      <w:pPr>
        <w:ind w:left="5040" w:hanging="360"/>
      </w:pPr>
      <w:rPr>
        <w:rFonts w:ascii="Symbol" w:hAnsi="Symbol" w:hint="default"/>
      </w:rPr>
    </w:lvl>
    <w:lvl w:ilvl="7" w:tplc="CDA84F32">
      <w:start w:val="1"/>
      <w:numFmt w:val="bullet"/>
      <w:lvlText w:val="o"/>
      <w:lvlJc w:val="left"/>
      <w:pPr>
        <w:ind w:left="5760" w:hanging="360"/>
      </w:pPr>
      <w:rPr>
        <w:rFonts w:ascii="Courier New" w:hAnsi="Courier New" w:hint="default"/>
      </w:rPr>
    </w:lvl>
    <w:lvl w:ilvl="8" w:tplc="86E47D94">
      <w:start w:val="1"/>
      <w:numFmt w:val="bullet"/>
      <w:lvlText w:val=""/>
      <w:lvlJc w:val="left"/>
      <w:pPr>
        <w:ind w:left="6480" w:hanging="360"/>
      </w:pPr>
      <w:rPr>
        <w:rFonts w:ascii="Wingdings" w:hAnsi="Wingdings" w:hint="default"/>
      </w:rPr>
    </w:lvl>
  </w:abstractNum>
  <w:abstractNum w:abstractNumId="19" w15:restartNumberingAfterBreak="0">
    <w:nsid w:val="63213168"/>
    <w:multiLevelType w:val="hybridMultilevel"/>
    <w:tmpl w:val="FFFFFFFF"/>
    <w:lvl w:ilvl="0" w:tplc="5D608E7C">
      <w:start w:val="1"/>
      <w:numFmt w:val="bullet"/>
      <w:lvlText w:val="·"/>
      <w:lvlJc w:val="left"/>
      <w:pPr>
        <w:ind w:left="720" w:hanging="360"/>
      </w:pPr>
      <w:rPr>
        <w:rFonts w:ascii="Symbol" w:hAnsi="Symbol" w:hint="default"/>
      </w:rPr>
    </w:lvl>
    <w:lvl w:ilvl="1" w:tplc="8E445AFA">
      <w:start w:val="1"/>
      <w:numFmt w:val="bullet"/>
      <w:lvlText w:val="o"/>
      <w:lvlJc w:val="left"/>
      <w:pPr>
        <w:ind w:left="1440" w:hanging="360"/>
      </w:pPr>
      <w:rPr>
        <w:rFonts w:ascii="Courier New" w:hAnsi="Courier New" w:hint="default"/>
      </w:rPr>
    </w:lvl>
    <w:lvl w:ilvl="2" w:tplc="8E98CE38">
      <w:start w:val="1"/>
      <w:numFmt w:val="bullet"/>
      <w:lvlText w:val=""/>
      <w:lvlJc w:val="left"/>
      <w:pPr>
        <w:ind w:left="2160" w:hanging="360"/>
      </w:pPr>
      <w:rPr>
        <w:rFonts w:ascii="Wingdings" w:hAnsi="Wingdings" w:hint="default"/>
      </w:rPr>
    </w:lvl>
    <w:lvl w:ilvl="3" w:tplc="F7CCEFB4">
      <w:start w:val="1"/>
      <w:numFmt w:val="bullet"/>
      <w:lvlText w:val=""/>
      <w:lvlJc w:val="left"/>
      <w:pPr>
        <w:ind w:left="2880" w:hanging="360"/>
      </w:pPr>
      <w:rPr>
        <w:rFonts w:ascii="Symbol" w:hAnsi="Symbol" w:hint="default"/>
      </w:rPr>
    </w:lvl>
    <w:lvl w:ilvl="4" w:tplc="79A89DF4">
      <w:start w:val="1"/>
      <w:numFmt w:val="bullet"/>
      <w:lvlText w:val="o"/>
      <w:lvlJc w:val="left"/>
      <w:pPr>
        <w:ind w:left="3600" w:hanging="360"/>
      </w:pPr>
      <w:rPr>
        <w:rFonts w:ascii="Courier New" w:hAnsi="Courier New" w:hint="default"/>
      </w:rPr>
    </w:lvl>
    <w:lvl w:ilvl="5" w:tplc="3DE6F676">
      <w:start w:val="1"/>
      <w:numFmt w:val="bullet"/>
      <w:lvlText w:val=""/>
      <w:lvlJc w:val="left"/>
      <w:pPr>
        <w:ind w:left="4320" w:hanging="360"/>
      </w:pPr>
      <w:rPr>
        <w:rFonts w:ascii="Wingdings" w:hAnsi="Wingdings" w:hint="default"/>
      </w:rPr>
    </w:lvl>
    <w:lvl w:ilvl="6" w:tplc="B526E3C4">
      <w:start w:val="1"/>
      <w:numFmt w:val="bullet"/>
      <w:lvlText w:val=""/>
      <w:lvlJc w:val="left"/>
      <w:pPr>
        <w:ind w:left="5040" w:hanging="360"/>
      </w:pPr>
      <w:rPr>
        <w:rFonts w:ascii="Symbol" w:hAnsi="Symbol" w:hint="default"/>
      </w:rPr>
    </w:lvl>
    <w:lvl w:ilvl="7" w:tplc="91F4BD34">
      <w:start w:val="1"/>
      <w:numFmt w:val="bullet"/>
      <w:lvlText w:val="o"/>
      <w:lvlJc w:val="left"/>
      <w:pPr>
        <w:ind w:left="5760" w:hanging="360"/>
      </w:pPr>
      <w:rPr>
        <w:rFonts w:ascii="Courier New" w:hAnsi="Courier New" w:hint="default"/>
      </w:rPr>
    </w:lvl>
    <w:lvl w:ilvl="8" w:tplc="F578C2FC">
      <w:start w:val="1"/>
      <w:numFmt w:val="bullet"/>
      <w:lvlText w:val=""/>
      <w:lvlJc w:val="left"/>
      <w:pPr>
        <w:ind w:left="6480" w:hanging="360"/>
      </w:pPr>
      <w:rPr>
        <w:rFonts w:ascii="Wingdings" w:hAnsi="Wingdings" w:hint="default"/>
      </w:rPr>
    </w:lvl>
  </w:abstractNum>
  <w:abstractNum w:abstractNumId="20" w15:restartNumberingAfterBreak="0">
    <w:nsid w:val="63D34F85"/>
    <w:multiLevelType w:val="hybridMultilevel"/>
    <w:tmpl w:val="FFFFFFFF"/>
    <w:lvl w:ilvl="0" w:tplc="B314A98C">
      <w:start w:val="1"/>
      <w:numFmt w:val="decimal"/>
      <w:lvlText w:val="%1."/>
      <w:lvlJc w:val="left"/>
      <w:pPr>
        <w:ind w:left="720" w:hanging="360"/>
      </w:pPr>
    </w:lvl>
    <w:lvl w:ilvl="1" w:tplc="0CC65D24">
      <w:start w:val="1"/>
      <w:numFmt w:val="lowerLetter"/>
      <w:lvlText w:val="%2."/>
      <w:lvlJc w:val="left"/>
      <w:pPr>
        <w:ind w:left="1440" w:hanging="360"/>
      </w:pPr>
    </w:lvl>
    <w:lvl w:ilvl="2" w:tplc="A57ACDD2">
      <w:start w:val="1"/>
      <w:numFmt w:val="lowerRoman"/>
      <w:lvlText w:val="%3."/>
      <w:lvlJc w:val="right"/>
      <w:pPr>
        <w:ind w:left="2160" w:hanging="180"/>
      </w:pPr>
    </w:lvl>
    <w:lvl w:ilvl="3" w:tplc="86EEDC36">
      <w:start w:val="1"/>
      <w:numFmt w:val="decimal"/>
      <w:lvlText w:val="%4."/>
      <w:lvlJc w:val="left"/>
      <w:pPr>
        <w:ind w:left="2880" w:hanging="360"/>
      </w:pPr>
    </w:lvl>
    <w:lvl w:ilvl="4" w:tplc="89D63E2E">
      <w:start w:val="1"/>
      <w:numFmt w:val="lowerLetter"/>
      <w:lvlText w:val="%5."/>
      <w:lvlJc w:val="left"/>
      <w:pPr>
        <w:ind w:left="3600" w:hanging="360"/>
      </w:pPr>
    </w:lvl>
    <w:lvl w:ilvl="5" w:tplc="CABE5E8A">
      <w:start w:val="1"/>
      <w:numFmt w:val="lowerRoman"/>
      <w:lvlText w:val="%6."/>
      <w:lvlJc w:val="right"/>
      <w:pPr>
        <w:ind w:left="4320" w:hanging="180"/>
      </w:pPr>
    </w:lvl>
    <w:lvl w:ilvl="6" w:tplc="5D0CFA6E">
      <w:start w:val="1"/>
      <w:numFmt w:val="decimal"/>
      <w:lvlText w:val="%7."/>
      <w:lvlJc w:val="left"/>
      <w:pPr>
        <w:ind w:left="5040" w:hanging="360"/>
      </w:pPr>
    </w:lvl>
    <w:lvl w:ilvl="7" w:tplc="EDFEAF9E">
      <w:start w:val="1"/>
      <w:numFmt w:val="lowerLetter"/>
      <w:lvlText w:val="%8."/>
      <w:lvlJc w:val="left"/>
      <w:pPr>
        <w:ind w:left="5760" w:hanging="360"/>
      </w:pPr>
    </w:lvl>
    <w:lvl w:ilvl="8" w:tplc="CFB4A830">
      <w:start w:val="1"/>
      <w:numFmt w:val="lowerRoman"/>
      <w:lvlText w:val="%9."/>
      <w:lvlJc w:val="right"/>
      <w:pPr>
        <w:ind w:left="6480" w:hanging="180"/>
      </w:pPr>
    </w:lvl>
  </w:abstractNum>
  <w:abstractNum w:abstractNumId="21" w15:restartNumberingAfterBreak="0">
    <w:nsid w:val="64125CE4"/>
    <w:multiLevelType w:val="hybridMultilevel"/>
    <w:tmpl w:val="FFFFFFFF"/>
    <w:lvl w:ilvl="0" w:tplc="C5C49EFC">
      <w:start w:val="1"/>
      <w:numFmt w:val="decimal"/>
      <w:lvlText w:val="%1."/>
      <w:lvlJc w:val="left"/>
      <w:pPr>
        <w:ind w:left="720" w:hanging="360"/>
      </w:pPr>
    </w:lvl>
    <w:lvl w:ilvl="1" w:tplc="CBF4D0AC">
      <w:start w:val="1"/>
      <w:numFmt w:val="lowerLetter"/>
      <w:lvlText w:val="%2."/>
      <w:lvlJc w:val="left"/>
      <w:pPr>
        <w:ind w:left="1440" w:hanging="360"/>
      </w:pPr>
    </w:lvl>
    <w:lvl w:ilvl="2" w:tplc="F28C7E8A">
      <w:start w:val="1"/>
      <w:numFmt w:val="lowerRoman"/>
      <w:lvlText w:val="%3."/>
      <w:lvlJc w:val="right"/>
      <w:pPr>
        <w:ind w:left="2160" w:hanging="180"/>
      </w:pPr>
    </w:lvl>
    <w:lvl w:ilvl="3" w:tplc="F978F6D0">
      <w:start w:val="1"/>
      <w:numFmt w:val="decimal"/>
      <w:lvlText w:val="%4."/>
      <w:lvlJc w:val="left"/>
      <w:pPr>
        <w:ind w:left="2880" w:hanging="360"/>
      </w:pPr>
    </w:lvl>
    <w:lvl w:ilvl="4" w:tplc="0D9C81D2">
      <w:start w:val="1"/>
      <w:numFmt w:val="lowerLetter"/>
      <w:lvlText w:val="%5."/>
      <w:lvlJc w:val="left"/>
      <w:pPr>
        <w:ind w:left="3600" w:hanging="360"/>
      </w:pPr>
    </w:lvl>
    <w:lvl w:ilvl="5" w:tplc="E9E6B360">
      <w:start w:val="1"/>
      <w:numFmt w:val="lowerRoman"/>
      <w:lvlText w:val="%6."/>
      <w:lvlJc w:val="right"/>
      <w:pPr>
        <w:ind w:left="4320" w:hanging="180"/>
      </w:pPr>
    </w:lvl>
    <w:lvl w:ilvl="6" w:tplc="FBC6A89E">
      <w:start w:val="1"/>
      <w:numFmt w:val="decimal"/>
      <w:lvlText w:val="%7."/>
      <w:lvlJc w:val="left"/>
      <w:pPr>
        <w:ind w:left="5040" w:hanging="360"/>
      </w:pPr>
    </w:lvl>
    <w:lvl w:ilvl="7" w:tplc="5F2C9604">
      <w:start w:val="1"/>
      <w:numFmt w:val="lowerLetter"/>
      <w:lvlText w:val="%8."/>
      <w:lvlJc w:val="left"/>
      <w:pPr>
        <w:ind w:left="5760" w:hanging="360"/>
      </w:pPr>
    </w:lvl>
    <w:lvl w:ilvl="8" w:tplc="BEBE3A38">
      <w:start w:val="1"/>
      <w:numFmt w:val="lowerRoman"/>
      <w:lvlText w:val="%9."/>
      <w:lvlJc w:val="right"/>
      <w:pPr>
        <w:ind w:left="6480" w:hanging="180"/>
      </w:pPr>
    </w:lvl>
  </w:abstractNum>
  <w:abstractNum w:abstractNumId="22" w15:restartNumberingAfterBreak="0">
    <w:nsid w:val="6667467C"/>
    <w:multiLevelType w:val="hybridMultilevel"/>
    <w:tmpl w:val="FFFFFFFF"/>
    <w:lvl w:ilvl="0" w:tplc="7AF216EC">
      <w:start w:val="1"/>
      <w:numFmt w:val="bullet"/>
      <w:lvlText w:val="·"/>
      <w:lvlJc w:val="left"/>
      <w:pPr>
        <w:ind w:left="720" w:hanging="360"/>
      </w:pPr>
      <w:rPr>
        <w:rFonts w:ascii="Symbol" w:hAnsi="Symbol" w:hint="default"/>
      </w:rPr>
    </w:lvl>
    <w:lvl w:ilvl="1" w:tplc="AD54EAC0">
      <w:start w:val="1"/>
      <w:numFmt w:val="bullet"/>
      <w:lvlText w:val="o"/>
      <w:lvlJc w:val="left"/>
      <w:pPr>
        <w:ind w:left="1440" w:hanging="360"/>
      </w:pPr>
      <w:rPr>
        <w:rFonts w:ascii="Courier New" w:hAnsi="Courier New" w:hint="default"/>
      </w:rPr>
    </w:lvl>
    <w:lvl w:ilvl="2" w:tplc="7CD20148">
      <w:start w:val="1"/>
      <w:numFmt w:val="bullet"/>
      <w:lvlText w:val=""/>
      <w:lvlJc w:val="left"/>
      <w:pPr>
        <w:ind w:left="2160" w:hanging="360"/>
      </w:pPr>
      <w:rPr>
        <w:rFonts w:ascii="Wingdings" w:hAnsi="Wingdings" w:hint="default"/>
      </w:rPr>
    </w:lvl>
    <w:lvl w:ilvl="3" w:tplc="71CE45EC">
      <w:start w:val="1"/>
      <w:numFmt w:val="bullet"/>
      <w:lvlText w:val=""/>
      <w:lvlJc w:val="left"/>
      <w:pPr>
        <w:ind w:left="2880" w:hanging="360"/>
      </w:pPr>
      <w:rPr>
        <w:rFonts w:ascii="Symbol" w:hAnsi="Symbol" w:hint="default"/>
      </w:rPr>
    </w:lvl>
    <w:lvl w:ilvl="4" w:tplc="F632904C">
      <w:start w:val="1"/>
      <w:numFmt w:val="bullet"/>
      <w:lvlText w:val="o"/>
      <w:lvlJc w:val="left"/>
      <w:pPr>
        <w:ind w:left="3600" w:hanging="360"/>
      </w:pPr>
      <w:rPr>
        <w:rFonts w:ascii="Courier New" w:hAnsi="Courier New" w:hint="default"/>
      </w:rPr>
    </w:lvl>
    <w:lvl w:ilvl="5" w:tplc="5DBC816C">
      <w:start w:val="1"/>
      <w:numFmt w:val="bullet"/>
      <w:lvlText w:val=""/>
      <w:lvlJc w:val="left"/>
      <w:pPr>
        <w:ind w:left="4320" w:hanging="360"/>
      </w:pPr>
      <w:rPr>
        <w:rFonts w:ascii="Wingdings" w:hAnsi="Wingdings" w:hint="default"/>
      </w:rPr>
    </w:lvl>
    <w:lvl w:ilvl="6" w:tplc="89027E92">
      <w:start w:val="1"/>
      <w:numFmt w:val="bullet"/>
      <w:lvlText w:val=""/>
      <w:lvlJc w:val="left"/>
      <w:pPr>
        <w:ind w:left="5040" w:hanging="360"/>
      </w:pPr>
      <w:rPr>
        <w:rFonts w:ascii="Symbol" w:hAnsi="Symbol" w:hint="default"/>
      </w:rPr>
    </w:lvl>
    <w:lvl w:ilvl="7" w:tplc="18CEFAB0">
      <w:start w:val="1"/>
      <w:numFmt w:val="bullet"/>
      <w:lvlText w:val="o"/>
      <w:lvlJc w:val="left"/>
      <w:pPr>
        <w:ind w:left="5760" w:hanging="360"/>
      </w:pPr>
      <w:rPr>
        <w:rFonts w:ascii="Courier New" w:hAnsi="Courier New" w:hint="default"/>
      </w:rPr>
    </w:lvl>
    <w:lvl w:ilvl="8" w:tplc="E72E74FC">
      <w:start w:val="1"/>
      <w:numFmt w:val="bullet"/>
      <w:lvlText w:val=""/>
      <w:lvlJc w:val="left"/>
      <w:pPr>
        <w:ind w:left="6480" w:hanging="360"/>
      </w:pPr>
      <w:rPr>
        <w:rFonts w:ascii="Wingdings" w:hAnsi="Wingdings" w:hint="default"/>
      </w:rPr>
    </w:lvl>
  </w:abstractNum>
  <w:abstractNum w:abstractNumId="23" w15:restartNumberingAfterBreak="0">
    <w:nsid w:val="6CA67CB0"/>
    <w:multiLevelType w:val="hybridMultilevel"/>
    <w:tmpl w:val="FFFFFFFF"/>
    <w:lvl w:ilvl="0" w:tplc="6582B50E">
      <w:start w:val="1"/>
      <w:numFmt w:val="bullet"/>
      <w:lvlText w:val="·"/>
      <w:lvlJc w:val="left"/>
      <w:pPr>
        <w:ind w:left="720" w:hanging="360"/>
      </w:pPr>
      <w:rPr>
        <w:rFonts w:ascii="Symbol" w:hAnsi="Symbol" w:hint="default"/>
      </w:rPr>
    </w:lvl>
    <w:lvl w:ilvl="1" w:tplc="92A64F7A">
      <w:start w:val="1"/>
      <w:numFmt w:val="bullet"/>
      <w:lvlText w:val="o"/>
      <w:lvlJc w:val="left"/>
      <w:pPr>
        <w:ind w:left="1440" w:hanging="360"/>
      </w:pPr>
      <w:rPr>
        <w:rFonts w:ascii="Courier New" w:hAnsi="Courier New" w:hint="default"/>
      </w:rPr>
    </w:lvl>
    <w:lvl w:ilvl="2" w:tplc="93DABD6C">
      <w:start w:val="1"/>
      <w:numFmt w:val="bullet"/>
      <w:lvlText w:val=""/>
      <w:lvlJc w:val="left"/>
      <w:pPr>
        <w:ind w:left="2160" w:hanging="360"/>
      </w:pPr>
      <w:rPr>
        <w:rFonts w:ascii="Wingdings" w:hAnsi="Wingdings" w:hint="default"/>
      </w:rPr>
    </w:lvl>
    <w:lvl w:ilvl="3" w:tplc="5DF85EDE">
      <w:start w:val="1"/>
      <w:numFmt w:val="bullet"/>
      <w:lvlText w:val=""/>
      <w:lvlJc w:val="left"/>
      <w:pPr>
        <w:ind w:left="2880" w:hanging="360"/>
      </w:pPr>
      <w:rPr>
        <w:rFonts w:ascii="Symbol" w:hAnsi="Symbol" w:hint="default"/>
      </w:rPr>
    </w:lvl>
    <w:lvl w:ilvl="4" w:tplc="EA6823A8">
      <w:start w:val="1"/>
      <w:numFmt w:val="bullet"/>
      <w:lvlText w:val="o"/>
      <w:lvlJc w:val="left"/>
      <w:pPr>
        <w:ind w:left="3600" w:hanging="360"/>
      </w:pPr>
      <w:rPr>
        <w:rFonts w:ascii="Courier New" w:hAnsi="Courier New" w:hint="default"/>
      </w:rPr>
    </w:lvl>
    <w:lvl w:ilvl="5" w:tplc="36DC06A8">
      <w:start w:val="1"/>
      <w:numFmt w:val="bullet"/>
      <w:lvlText w:val=""/>
      <w:lvlJc w:val="left"/>
      <w:pPr>
        <w:ind w:left="4320" w:hanging="360"/>
      </w:pPr>
      <w:rPr>
        <w:rFonts w:ascii="Wingdings" w:hAnsi="Wingdings" w:hint="default"/>
      </w:rPr>
    </w:lvl>
    <w:lvl w:ilvl="6" w:tplc="CF3246EA">
      <w:start w:val="1"/>
      <w:numFmt w:val="bullet"/>
      <w:lvlText w:val=""/>
      <w:lvlJc w:val="left"/>
      <w:pPr>
        <w:ind w:left="5040" w:hanging="360"/>
      </w:pPr>
      <w:rPr>
        <w:rFonts w:ascii="Symbol" w:hAnsi="Symbol" w:hint="default"/>
      </w:rPr>
    </w:lvl>
    <w:lvl w:ilvl="7" w:tplc="FA7CF5DA">
      <w:start w:val="1"/>
      <w:numFmt w:val="bullet"/>
      <w:lvlText w:val="o"/>
      <w:lvlJc w:val="left"/>
      <w:pPr>
        <w:ind w:left="5760" w:hanging="360"/>
      </w:pPr>
      <w:rPr>
        <w:rFonts w:ascii="Courier New" w:hAnsi="Courier New" w:hint="default"/>
      </w:rPr>
    </w:lvl>
    <w:lvl w:ilvl="8" w:tplc="745C5396">
      <w:start w:val="1"/>
      <w:numFmt w:val="bullet"/>
      <w:lvlText w:val=""/>
      <w:lvlJc w:val="left"/>
      <w:pPr>
        <w:ind w:left="6480" w:hanging="360"/>
      </w:pPr>
      <w:rPr>
        <w:rFonts w:ascii="Wingdings" w:hAnsi="Wingdings" w:hint="default"/>
      </w:rPr>
    </w:lvl>
  </w:abstractNum>
  <w:abstractNum w:abstractNumId="24" w15:restartNumberingAfterBreak="0">
    <w:nsid w:val="6DEE1F72"/>
    <w:multiLevelType w:val="hybridMultilevel"/>
    <w:tmpl w:val="FFFFFFFF"/>
    <w:lvl w:ilvl="0" w:tplc="01C40880">
      <w:start w:val="1"/>
      <w:numFmt w:val="bullet"/>
      <w:lvlText w:val="·"/>
      <w:lvlJc w:val="left"/>
      <w:pPr>
        <w:ind w:left="720" w:hanging="360"/>
      </w:pPr>
      <w:rPr>
        <w:rFonts w:ascii="Symbol" w:hAnsi="Symbol" w:hint="default"/>
      </w:rPr>
    </w:lvl>
    <w:lvl w:ilvl="1" w:tplc="651EBCF6">
      <w:start w:val="1"/>
      <w:numFmt w:val="bullet"/>
      <w:lvlText w:val="o"/>
      <w:lvlJc w:val="left"/>
      <w:pPr>
        <w:ind w:left="1440" w:hanging="360"/>
      </w:pPr>
      <w:rPr>
        <w:rFonts w:ascii="Courier New" w:hAnsi="Courier New" w:hint="default"/>
      </w:rPr>
    </w:lvl>
    <w:lvl w:ilvl="2" w:tplc="C186A9D2">
      <w:start w:val="1"/>
      <w:numFmt w:val="bullet"/>
      <w:lvlText w:val=""/>
      <w:lvlJc w:val="left"/>
      <w:pPr>
        <w:ind w:left="2160" w:hanging="360"/>
      </w:pPr>
      <w:rPr>
        <w:rFonts w:ascii="Wingdings" w:hAnsi="Wingdings" w:hint="default"/>
      </w:rPr>
    </w:lvl>
    <w:lvl w:ilvl="3" w:tplc="845C5BB6">
      <w:start w:val="1"/>
      <w:numFmt w:val="bullet"/>
      <w:lvlText w:val=""/>
      <w:lvlJc w:val="left"/>
      <w:pPr>
        <w:ind w:left="2880" w:hanging="360"/>
      </w:pPr>
      <w:rPr>
        <w:rFonts w:ascii="Symbol" w:hAnsi="Symbol" w:hint="default"/>
      </w:rPr>
    </w:lvl>
    <w:lvl w:ilvl="4" w:tplc="BB4CFE4A">
      <w:start w:val="1"/>
      <w:numFmt w:val="bullet"/>
      <w:lvlText w:val="o"/>
      <w:lvlJc w:val="left"/>
      <w:pPr>
        <w:ind w:left="3600" w:hanging="360"/>
      </w:pPr>
      <w:rPr>
        <w:rFonts w:ascii="Courier New" w:hAnsi="Courier New" w:hint="default"/>
      </w:rPr>
    </w:lvl>
    <w:lvl w:ilvl="5" w:tplc="EE7A3D50">
      <w:start w:val="1"/>
      <w:numFmt w:val="bullet"/>
      <w:lvlText w:val=""/>
      <w:lvlJc w:val="left"/>
      <w:pPr>
        <w:ind w:left="4320" w:hanging="360"/>
      </w:pPr>
      <w:rPr>
        <w:rFonts w:ascii="Wingdings" w:hAnsi="Wingdings" w:hint="default"/>
      </w:rPr>
    </w:lvl>
    <w:lvl w:ilvl="6" w:tplc="8998266C">
      <w:start w:val="1"/>
      <w:numFmt w:val="bullet"/>
      <w:lvlText w:val=""/>
      <w:lvlJc w:val="left"/>
      <w:pPr>
        <w:ind w:left="5040" w:hanging="360"/>
      </w:pPr>
      <w:rPr>
        <w:rFonts w:ascii="Symbol" w:hAnsi="Symbol" w:hint="default"/>
      </w:rPr>
    </w:lvl>
    <w:lvl w:ilvl="7" w:tplc="55B8F972">
      <w:start w:val="1"/>
      <w:numFmt w:val="bullet"/>
      <w:lvlText w:val="o"/>
      <w:lvlJc w:val="left"/>
      <w:pPr>
        <w:ind w:left="5760" w:hanging="360"/>
      </w:pPr>
      <w:rPr>
        <w:rFonts w:ascii="Courier New" w:hAnsi="Courier New" w:hint="default"/>
      </w:rPr>
    </w:lvl>
    <w:lvl w:ilvl="8" w:tplc="1E08947E">
      <w:start w:val="1"/>
      <w:numFmt w:val="bullet"/>
      <w:lvlText w:val=""/>
      <w:lvlJc w:val="left"/>
      <w:pPr>
        <w:ind w:left="6480" w:hanging="360"/>
      </w:pPr>
      <w:rPr>
        <w:rFonts w:ascii="Wingdings" w:hAnsi="Wingdings" w:hint="default"/>
      </w:rPr>
    </w:lvl>
  </w:abstractNum>
  <w:abstractNum w:abstractNumId="25" w15:restartNumberingAfterBreak="0">
    <w:nsid w:val="6F032323"/>
    <w:multiLevelType w:val="hybridMultilevel"/>
    <w:tmpl w:val="FFFFFFFF"/>
    <w:lvl w:ilvl="0" w:tplc="8216F5A4">
      <w:start w:val="1"/>
      <w:numFmt w:val="decimal"/>
      <w:lvlText w:val="%1."/>
      <w:lvlJc w:val="left"/>
      <w:pPr>
        <w:ind w:left="720" w:hanging="360"/>
      </w:pPr>
    </w:lvl>
    <w:lvl w:ilvl="1" w:tplc="29F88B36">
      <w:start w:val="1"/>
      <w:numFmt w:val="lowerLetter"/>
      <w:lvlText w:val="%2."/>
      <w:lvlJc w:val="left"/>
      <w:pPr>
        <w:ind w:left="1440" w:hanging="360"/>
      </w:pPr>
    </w:lvl>
    <w:lvl w:ilvl="2" w:tplc="323A4796">
      <w:start w:val="1"/>
      <w:numFmt w:val="lowerRoman"/>
      <w:lvlText w:val="%3."/>
      <w:lvlJc w:val="right"/>
      <w:pPr>
        <w:ind w:left="2160" w:hanging="180"/>
      </w:pPr>
    </w:lvl>
    <w:lvl w:ilvl="3" w:tplc="C1240434">
      <w:start w:val="1"/>
      <w:numFmt w:val="decimal"/>
      <w:lvlText w:val="%4."/>
      <w:lvlJc w:val="left"/>
      <w:pPr>
        <w:ind w:left="2880" w:hanging="360"/>
      </w:pPr>
    </w:lvl>
    <w:lvl w:ilvl="4" w:tplc="85AA4054">
      <w:start w:val="1"/>
      <w:numFmt w:val="lowerLetter"/>
      <w:lvlText w:val="%5."/>
      <w:lvlJc w:val="left"/>
      <w:pPr>
        <w:ind w:left="3600" w:hanging="360"/>
      </w:pPr>
    </w:lvl>
    <w:lvl w:ilvl="5" w:tplc="48ECD776">
      <w:start w:val="1"/>
      <w:numFmt w:val="lowerRoman"/>
      <w:lvlText w:val="%6."/>
      <w:lvlJc w:val="right"/>
      <w:pPr>
        <w:ind w:left="4320" w:hanging="180"/>
      </w:pPr>
    </w:lvl>
    <w:lvl w:ilvl="6" w:tplc="626EA48C">
      <w:start w:val="1"/>
      <w:numFmt w:val="decimal"/>
      <w:lvlText w:val="%7."/>
      <w:lvlJc w:val="left"/>
      <w:pPr>
        <w:ind w:left="5040" w:hanging="360"/>
      </w:pPr>
    </w:lvl>
    <w:lvl w:ilvl="7" w:tplc="0A48E9A2">
      <w:start w:val="1"/>
      <w:numFmt w:val="lowerLetter"/>
      <w:lvlText w:val="%8."/>
      <w:lvlJc w:val="left"/>
      <w:pPr>
        <w:ind w:left="5760" w:hanging="360"/>
      </w:pPr>
    </w:lvl>
    <w:lvl w:ilvl="8" w:tplc="8B7ED3E4">
      <w:start w:val="1"/>
      <w:numFmt w:val="lowerRoman"/>
      <w:lvlText w:val="%9."/>
      <w:lvlJc w:val="right"/>
      <w:pPr>
        <w:ind w:left="6480" w:hanging="180"/>
      </w:pPr>
    </w:lvl>
  </w:abstractNum>
  <w:abstractNum w:abstractNumId="26" w15:restartNumberingAfterBreak="0">
    <w:nsid w:val="6F1A05D5"/>
    <w:multiLevelType w:val="hybridMultilevel"/>
    <w:tmpl w:val="FFFFFFFF"/>
    <w:lvl w:ilvl="0" w:tplc="D3FCFED2">
      <w:start w:val="1"/>
      <w:numFmt w:val="decimal"/>
      <w:lvlText w:val="%1."/>
      <w:lvlJc w:val="left"/>
      <w:pPr>
        <w:ind w:left="720" w:hanging="360"/>
      </w:pPr>
    </w:lvl>
    <w:lvl w:ilvl="1" w:tplc="461043AE">
      <w:start w:val="1"/>
      <w:numFmt w:val="lowerLetter"/>
      <w:lvlText w:val="%2."/>
      <w:lvlJc w:val="left"/>
      <w:pPr>
        <w:ind w:left="1440" w:hanging="360"/>
      </w:pPr>
    </w:lvl>
    <w:lvl w:ilvl="2" w:tplc="EDAEDE0C">
      <w:start w:val="1"/>
      <w:numFmt w:val="lowerRoman"/>
      <w:lvlText w:val="%3."/>
      <w:lvlJc w:val="right"/>
      <w:pPr>
        <w:ind w:left="2160" w:hanging="180"/>
      </w:pPr>
    </w:lvl>
    <w:lvl w:ilvl="3" w:tplc="28C8FCC4">
      <w:start w:val="1"/>
      <w:numFmt w:val="decimal"/>
      <w:lvlText w:val="%4."/>
      <w:lvlJc w:val="left"/>
      <w:pPr>
        <w:ind w:left="2880" w:hanging="360"/>
      </w:pPr>
    </w:lvl>
    <w:lvl w:ilvl="4" w:tplc="996068E0">
      <w:start w:val="1"/>
      <w:numFmt w:val="lowerLetter"/>
      <w:lvlText w:val="%5."/>
      <w:lvlJc w:val="left"/>
      <w:pPr>
        <w:ind w:left="3600" w:hanging="360"/>
      </w:pPr>
    </w:lvl>
    <w:lvl w:ilvl="5" w:tplc="BCD84556">
      <w:start w:val="1"/>
      <w:numFmt w:val="lowerRoman"/>
      <w:lvlText w:val="%6."/>
      <w:lvlJc w:val="right"/>
      <w:pPr>
        <w:ind w:left="4320" w:hanging="180"/>
      </w:pPr>
    </w:lvl>
    <w:lvl w:ilvl="6" w:tplc="7FFAFA06">
      <w:start w:val="1"/>
      <w:numFmt w:val="decimal"/>
      <w:lvlText w:val="%7."/>
      <w:lvlJc w:val="left"/>
      <w:pPr>
        <w:ind w:left="5040" w:hanging="360"/>
      </w:pPr>
    </w:lvl>
    <w:lvl w:ilvl="7" w:tplc="5A24B0BA">
      <w:start w:val="1"/>
      <w:numFmt w:val="lowerLetter"/>
      <w:lvlText w:val="%8."/>
      <w:lvlJc w:val="left"/>
      <w:pPr>
        <w:ind w:left="5760" w:hanging="360"/>
      </w:pPr>
    </w:lvl>
    <w:lvl w:ilvl="8" w:tplc="71AAE722">
      <w:start w:val="1"/>
      <w:numFmt w:val="lowerRoman"/>
      <w:lvlText w:val="%9."/>
      <w:lvlJc w:val="right"/>
      <w:pPr>
        <w:ind w:left="6480" w:hanging="180"/>
      </w:pPr>
    </w:lvl>
  </w:abstractNum>
  <w:abstractNum w:abstractNumId="27" w15:restartNumberingAfterBreak="0">
    <w:nsid w:val="75800F6D"/>
    <w:multiLevelType w:val="hybridMultilevel"/>
    <w:tmpl w:val="FFFFFFFF"/>
    <w:lvl w:ilvl="0" w:tplc="05644D9A">
      <w:start w:val="1"/>
      <w:numFmt w:val="decimal"/>
      <w:lvlText w:val="%1."/>
      <w:lvlJc w:val="left"/>
      <w:pPr>
        <w:ind w:left="720" w:hanging="360"/>
      </w:pPr>
    </w:lvl>
    <w:lvl w:ilvl="1" w:tplc="7B504B76">
      <w:start w:val="1"/>
      <w:numFmt w:val="lowerLetter"/>
      <w:lvlText w:val="%2."/>
      <w:lvlJc w:val="left"/>
      <w:pPr>
        <w:ind w:left="1440" w:hanging="360"/>
      </w:pPr>
    </w:lvl>
    <w:lvl w:ilvl="2" w:tplc="47B2EE86">
      <w:start w:val="1"/>
      <w:numFmt w:val="lowerRoman"/>
      <w:lvlText w:val="%3."/>
      <w:lvlJc w:val="right"/>
      <w:pPr>
        <w:ind w:left="2160" w:hanging="180"/>
      </w:pPr>
    </w:lvl>
    <w:lvl w:ilvl="3" w:tplc="4B36B10C">
      <w:start w:val="1"/>
      <w:numFmt w:val="decimal"/>
      <w:lvlText w:val="%4."/>
      <w:lvlJc w:val="left"/>
      <w:pPr>
        <w:ind w:left="2880" w:hanging="360"/>
      </w:pPr>
    </w:lvl>
    <w:lvl w:ilvl="4" w:tplc="B016C37C">
      <w:start w:val="1"/>
      <w:numFmt w:val="lowerLetter"/>
      <w:lvlText w:val="%5."/>
      <w:lvlJc w:val="left"/>
      <w:pPr>
        <w:ind w:left="3600" w:hanging="360"/>
      </w:pPr>
    </w:lvl>
    <w:lvl w:ilvl="5" w:tplc="DF460882">
      <w:start w:val="1"/>
      <w:numFmt w:val="lowerRoman"/>
      <w:lvlText w:val="%6."/>
      <w:lvlJc w:val="right"/>
      <w:pPr>
        <w:ind w:left="4320" w:hanging="180"/>
      </w:pPr>
    </w:lvl>
    <w:lvl w:ilvl="6" w:tplc="BC56AEBC">
      <w:start w:val="1"/>
      <w:numFmt w:val="decimal"/>
      <w:lvlText w:val="%7."/>
      <w:lvlJc w:val="left"/>
      <w:pPr>
        <w:ind w:left="5040" w:hanging="360"/>
      </w:pPr>
    </w:lvl>
    <w:lvl w:ilvl="7" w:tplc="FA58ADC8">
      <w:start w:val="1"/>
      <w:numFmt w:val="lowerLetter"/>
      <w:lvlText w:val="%8."/>
      <w:lvlJc w:val="left"/>
      <w:pPr>
        <w:ind w:left="5760" w:hanging="360"/>
      </w:pPr>
    </w:lvl>
    <w:lvl w:ilvl="8" w:tplc="740C4B50">
      <w:start w:val="1"/>
      <w:numFmt w:val="lowerRoman"/>
      <w:lvlText w:val="%9."/>
      <w:lvlJc w:val="right"/>
      <w:pPr>
        <w:ind w:left="6480" w:hanging="180"/>
      </w:pPr>
    </w:lvl>
  </w:abstractNum>
  <w:abstractNum w:abstractNumId="28" w15:restartNumberingAfterBreak="0">
    <w:nsid w:val="788F47C0"/>
    <w:multiLevelType w:val="hybridMultilevel"/>
    <w:tmpl w:val="FFFFFFFF"/>
    <w:lvl w:ilvl="0" w:tplc="C08AFAD6">
      <w:start w:val="1"/>
      <w:numFmt w:val="bullet"/>
      <w:lvlText w:val="·"/>
      <w:lvlJc w:val="left"/>
      <w:pPr>
        <w:ind w:left="720" w:hanging="360"/>
      </w:pPr>
      <w:rPr>
        <w:rFonts w:ascii="Symbol" w:hAnsi="Symbol" w:hint="default"/>
      </w:rPr>
    </w:lvl>
    <w:lvl w:ilvl="1" w:tplc="8112EC94">
      <w:start w:val="1"/>
      <w:numFmt w:val="bullet"/>
      <w:lvlText w:val="o"/>
      <w:lvlJc w:val="left"/>
      <w:pPr>
        <w:ind w:left="1440" w:hanging="360"/>
      </w:pPr>
      <w:rPr>
        <w:rFonts w:ascii="Courier New" w:hAnsi="Courier New" w:hint="default"/>
      </w:rPr>
    </w:lvl>
    <w:lvl w:ilvl="2" w:tplc="78F0FEB4">
      <w:start w:val="1"/>
      <w:numFmt w:val="bullet"/>
      <w:lvlText w:val=""/>
      <w:lvlJc w:val="left"/>
      <w:pPr>
        <w:ind w:left="2160" w:hanging="360"/>
      </w:pPr>
      <w:rPr>
        <w:rFonts w:ascii="Wingdings" w:hAnsi="Wingdings" w:hint="default"/>
      </w:rPr>
    </w:lvl>
    <w:lvl w:ilvl="3" w:tplc="DEEA3248">
      <w:start w:val="1"/>
      <w:numFmt w:val="bullet"/>
      <w:lvlText w:val=""/>
      <w:lvlJc w:val="left"/>
      <w:pPr>
        <w:ind w:left="2880" w:hanging="360"/>
      </w:pPr>
      <w:rPr>
        <w:rFonts w:ascii="Symbol" w:hAnsi="Symbol" w:hint="default"/>
      </w:rPr>
    </w:lvl>
    <w:lvl w:ilvl="4" w:tplc="7EC26E72">
      <w:start w:val="1"/>
      <w:numFmt w:val="bullet"/>
      <w:lvlText w:val="o"/>
      <w:lvlJc w:val="left"/>
      <w:pPr>
        <w:ind w:left="3600" w:hanging="360"/>
      </w:pPr>
      <w:rPr>
        <w:rFonts w:ascii="Courier New" w:hAnsi="Courier New" w:hint="default"/>
      </w:rPr>
    </w:lvl>
    <w:lvl w:ilvl="5" w:tplc="95345524">
      <w:start w:val="1"/>
      <w:numFmt w:val="bullet"/>
      <w:lvlText w:val=""/>
      <w:lvlJc w:val="left"/>
      <w:pPr>
        <w:ind w:left="4320" w:hanging="360"/>
      </w:pPr>
      <w:rPr>
        <w:rFonts w:ascii="Wingdings" w:hAnsi="Wingdings" w:hint="default"/>
      </w:rPr>
    </w:lvl>
    <w:lvl w:ilvl="6" w:tplc="970E8D4A">
      <w:start w:val="1"/>
      <w:numFmt w:val="bullet"/>
      <w:lvlText w:val=""/>
      <w:lvlJc w:val="left"/>
      <w:pPr>
        <w:ind w:left="5040" w:hanging="360"/>
      </w:pPr>
      <w:rPr>
        <w:rFonts w:ascii="Symbol" w:hAnsi="Symbol" w:hint="default"/>
      </w:rPr>
    </w:lvl>
    <w:lvl w:ilvl="7" w:tplc="F5F4120A">
      <w:start w:val="1"/>
      <w:numFmt w:val="bullet"/>
      <w:lvlText w:val="o"/>
      <w:lvlJc w:val="left"/>
      <w:pPr>
        <w:ind w:left="5760" w:hanging="360"/>
      </w:pPr>
      <w:rPr>
        <w:rFonts w:ascii="Courier New" w:hAnsi="Courier New" w:hint="default"/>
      </w:rPr>
    </w:lvl>
    <w:lvl w:ilvl="8" w:tplc="511E659C">
      <w:start w:val="1"/>
      <w:numFmt w:val="bullet"/>
      <w:lvlText w:val=""/>
      <w:lvlJc w:val="left"/>
      <w:pPr>
        <w:ind w:left="6480" w:hanging="360"/>
      </w:pPr>
      <w:rPr>
        <w:rFonts w:ascii="Wingdings" w:hAnsi="Wingdings" w:hint="default"/>
      </w:rPr>
    </w:lvl>
  </w:abstractNum>
  <w:abstractNum w:abstractNumId="29" w15:restartNumberingAfterBreak="0">
    <w:nsid w:val="78B50EF8"/>
    <w:multiLevelType w:val="hybridMultilevel"/>
    <w:tmpl w:val="FFFFFFFF"/>
    <w:lvl w:ilvl="0" w:tplc="D26048C2">
      <w:start w:val="1"/>
      <w:numFmt w:val="bullet"/>
      <w:lvlText w:val="·"/>
      <w:lvlJc w:val="left"/>
      <w:pPr>
        <w:ind w:left="720" w:hanging="360"/>
      </w:pPr>
      <w:rPr>
        <w:rFonts w:ascii="Symbol" w:hAnsi="Symbol" w:hint="default"/>
      </w:rPr>
    </w:lvl>
    <w:lvl w:ilvl="1" w:tplc="8CF655AE">
      <w:start w:val="1"/>
      <w:numFmt w:val="bullet"/>
      <w:lvlText w:val="o"/>
      <w:lvlJc w:val="left"/>
      <w:pPr>
        <w:ind w:left="1440" w:hanging="360"/>
      </w:pPr>
      <w:rPr>
        <w:rFonts w:ascii="Courier New" w:hAnsi="Courier New" w:hint="default"/>
      </w:rPr>
    </w:lvl>
    <w:lvl w:ilvl="2" w:tplc="52668D60">
      <w:start w:val="1"/>
      <w:numFmt w:val="bullet"/>
      <w:lvlText w:val=""/>
      <w:lvlJc w:val="left"/>
      <w:pPr>
        <w:ind w:left="2160" w:hanging="360"/>
      </w:pPr>
      <w:rPr>
        <w:rFonts w:ascii="Wingdings" w:hAnsi="Wingdings" w:hint="default"/>
      </w:rPr>
    </w:lvl>
    <w:lvl w:ilvl="3" w:tplc="44C2373E">
      <w:start w:val="1"/>
      <w:numFmt w:val="bullet"/>
      <w:lvlText w:val=""/>
      <w:lvlJc w:val="left"/>
      <w:pPr>
        <w:ind w:left="2880" w:hanging="360"/>
      </w:pPr>
      <w:rPr>
        <w:rFonts w:ascii="Symbol" w:hAnsi="Symbol" w:hint="default"/>
      </w:rPr>
    </w:lvl>
    <w:lvl w:ilvl="4" w:tplc="8C806F58">
      <w:start w:val="1"/>
      <w:numFmt w:val="bullet"/>
      <w:lvlText w:val="o"/>
      <w:lvlJc w:val="left"/>
      <w:pPr>
        <w:ind w:left="3600" w:hanging="360"/>
      </w:pPr>
      <w:rPr>
        <w:rFonts w:ascii="Courier New" w:hAnsi="Courier New" w:hint="default"/>
      </w:rPr>
    </w:lvl>
    <w:lvl w:ilvl="5" w:tplc="255A30FE">
      <w:start w:val="1"/>
      <w:numFmt w:val="bullet"/>
      <w:lvlText w:val=""/>
      <w:lvlJc w:val="left"/>
      <w:pPr>
        <w:ind w:left="4320" w:hanging="360"/>
      </w:pPr>
      <w:rPr>
        <w:rFonts w:ascii="Wingdings" w:hAnsi="Wingdings" w:hint="default"/>
      </w:rPr>
    </w:lvl>
    <w:lvl w:ilvl="6" w:tplc="F182ADAC">
      <w:start w:val="1"/>
      <w:numFmt w:val="bullet"/>
      <w:lvlText w:val=""/>
      <w:lvlJc w:val="left"/>
      <w:pPr>
        <w:ind w:left="5040" w:hanging="360"/>
      </w:pPr>
      <w:rPr>
        <w:rFonts w:ascii="Symbol" w:hAnsi="Symbol" w:hint="default"/>
      </w:rPr>
    </w:lvl>
    <w:lvl w:ilvl="7" w:tplc="4C748EB4">
      <w:start w:val="1"/>
      <w:numFmt w:val="bullet"/>
      <w:lvlText w:val="o"/>
      <w:lvlJc w:val="left"/>
      <w:pPr>
        <w:ind w:left="5760" w:hanging="360"/>
      </w:pPr>
      <w:rPr>
        <w:rFonts w:ascii="Courier New" w:hAnsi="Courier New" w:hint="default"/>
      </w:rPr>
    </w:lvl>
    <w:lvl w:ilvl="8" w:tplc="F062605C">
      <w:start w:val="1"/>
      <w:numFmt w:val="bullet"/>
      <w:lvlText w:val=""/>
      <w:lvlJc w:val="left"/>
      <w:pPr>
        <w:ind w:left="6480" w:hanging="360"/>
      </w:pPr>
      <w:rPr>
        <w:rFonts w:ascii="Wingdings" w:hAnsi="Wingdings" w:hint="default"/>
      </w:rPr>
    </w:lvl>
  </w:abstractNum>
  <w:abstractNum w:abstractNumId="30" w15:restartNumberingAfterBreak="0">
    <w:nsid w:val="79284C31"/>
    <w:multiLevelType w:val="hybridMultilevel"/>
    <w:tmpl w:val="FFFFFFFF"/>
    <w:lvl w:ilvl="0" w:tplc="6CA2F768">
      <w:start w:val="1"/>
      <w:numFmt w:val="bullet"/>
      <w:lvlText w:val="·"/>
      <w:lvlJc w:val="left"/>
      <w:pPr>
        <w:ind w:left="720" w:hanging="360"/>
      </w:pPr>
      <w:rPr>
        <w:rFonts w:ascii="Symbol" w:hAnsi="Symbol" w:hint="default"/>
      </w:rPr>
    </w:lvl>
    <w:lvl w:ilvl="1" w:tplc="D1D8F06A">
      <w:start w:val="1"/>
      <w:numFmt w:val="bullet"/>
      <w:lvlText w:val="o"/>
      <w:lvlJc w:val="left"/>
      <w:pPr>
        <w:ind w:left="1440" w:hanging="360"/>
      </w:pPr>
      <w:rPr>
        <w:rFonts w:ascii="Courier New" w:hAnsi="Courier New" w:hint="default"/>
      </w:rPr>
    </w:lvl>
    <w:lvl w:ilvl="2" w:tplc="B76C4F74">
      <w:start w:val="1"/>
      <w:numFmt w:val="bullet"/>
      <w:lvlText w:val=""/>
      <w:lvlJc w:val="left"/>
      <w:pPr>
        <w:ind w:left="2160" w:hanging="360"/>
      </w:pPr>
      <w:rPr>
        <w:rFonts w:ascii="Wingdings" w:hAnsi="Wingdings" w:hint="default"/>
      </w:rPr>
    </w:lvl>
    <w:lvl w:ilvl="3" w:tplc="95B47F02">
      <w:start w:val="1"/>
      <w:numFmt w:val="bullet"/>
      <w:lvlText w:val=""/>
      <w:lvlJc w:val="left"/>
      <w:pPr>
        <w:ind w:left="2880" w:hanging="360"/>
      </w:pPr>
      <w:rPr>
        <w:rFonts w:ascii="Symbol" w:hAnsi="Symbol" w:hint="default"/>
      </w:rPr>
    </w:lvl>
    <w:lvl w:ilvl="4" w:tplc="043234D6">
      <w:start w:val="1"/>
      <w:numFmt w:val="bullet"/>
      <w:lvlText w:val="o"/>
      <w:lvlJc w:val="left"/>
      <w:pPr>
        <w:ind w:left="3600" w:hanging="360"/>
      </w:pPr>
      <w:rPr>
        <w:rFonts w:ascii="Courier New" w:hAnsi="Courier New" w:hint="default"/>
      </w:rPr>
    </w:lvl>
    <w:lvl w:ilvl="5" w:tplc="71788548">
      <w:start w:val="1"/>
      <w:numFmt w:val="bullet"/>
      <w:lvlText w:val=""/>
      <w:lvlJc w:val="left"/>
      <w:pPr>
        <w:ind w:left="4320" w:hanging="360"/>
      </w:pPr>
      <w:rPr>
        <w:rFonts w:ascii="Wingdings" w:hAnsi="Wingdings" w:hint="default"/>
      </w:rPr>
    </w:lvl>
    <w:lvl w:ilvl="6" w:tplc="849E47DE">
      <w:start w:val="1"/>
      <w:numFmt w:val="bullet"/>
      <w:lvlText w:val=""/>
      <w:lvlJc w:val="left"/>
      <w:pPr>
        <w:ind w:left="5040" w:hanging="360"/>
      </w:pPr>
      <w:rPr>
        <w:rFonts w:ascii="Symbol" w:hAnsi="Symbol" w:hint="default"/>
      </w:rPr>
    </w:lvl>
    <w:lvl w:ilvl="7" w:tplc="8A2A000C">
      <w:start w:val="1"/>
      <w:numFmt w:val="bullet"/>
      <w:lvlText w:val="o"/>
      <w:lvlJc w:val="left"/>
      <w:pPr>
        <w:ind w:left="5760" w:hanging="360"/>
      </w:pPr>
      <w:rPr>
        <w:rFonts w:ascii="Courier New" w:hAnsi="Courier New" w:hint="default"/>
      </w:rPr>
    </w:lvl>
    <w:lvl w:ilvl="8" w:tplc="14A0B706">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2"/>
  </w:num>
  <w:num w:numId="4">
    <w:abstractNumId w:val="27"/>
  </w:num>
  <w:num w:numId="5">
    <w:abstractNumId w:val="13"/>
  </w:num>
  <w:num w:numId="6">
    <w:abstractNumId w:val="10"/>
  </w:num>
  <w:num w:numId="7">
    <w:abstractNumId w:val="23"/>
  </w:num>
  <w:num w:numId="8">
    <w:abstractNumId w:val="4"/>
  </w:num>
  <w:num w:numId="9">
    <w:abstractNumId w:val="14"/>
  </w:num>
  <w:num w:numId="10">
    <w:abstractNumId w:val="29"/>
  </w:num>
  <w:num w:numId="11">
    <w:abstractNumId w:val="3"/>
  </w:num>
  <w:num w:numId="12">
    <w:abstractNumId w:val="22"/>
  </w:num>
  <w:num w:numId="13">
    <w:abstractNumId w:val="9"/>
  </w:num>
  <w:num w:numId="14">
    <w:abstractNumId w:val="7"/>
  </w:num>
  <w:num w:numId="15">
    <w:abstractNumId w:val="25"/>
  </w:num>
  <w:num w:numId="16">
    <w:abstractNumId w:val="8"/>
  </w:num>
  <w:num w:numId="17">
    <w:abstractNumId w:val="6"/>
  </w:num>
  <w:num w:numId="18">
    <w:abstractNumId w:val="21"/>
  </w:num>
  <w:num w:numId="19">
    <w:abstractNumId w:val="26"/>
  </w:num>
  <w:num w:numId="20">
    <w:abstractNumId w:val="20"/>
  </w:num>
  <w:num w:numId="21">
    <w:abstractNumId w:val="19"/>
  </w:num>
  <w:num w:numId="22">
    <w:abstractNumId w:val="30"/>
  </w:num>
  <w:num w:numId="23">
    <w:abstractNumId w:val="28"/>
  </w:num>
  <w:num w:numId="24">
    <w:abstractNumId w:val="11"/>
  </w:num>
  <w:num w:numId="25">
    <w:abstractNumId w:val="24"/>
  </w:num>
  <w:num w:numId="26">
    <w:abstractNumId w:val="5"/>
  </w:num>
  <w:num w:numId="27">
    <w:abstractNumId w:val="1"/>
  </w:num>
  <w:num w:numId="28">
    <w:abstractNumId w:val="18"/>
  </w:num>
  <w:num w:numId="29">
    <w:abstractNumId w:val="2"/>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33F245"/>
    <w:rsid w:val="0000087F"/>
    <w:rsid w:val="00004A5D"/>
    <w:rsid w:val="00012D7D"/>
    <w:rsid w:val="00013BBC"/>
    <w:rsid w:val="00013E66"/>
    <w:rsid w:val="00031FA2"/>
    <w:rsid w:val="00040AE4"/>
    <w:rsid w:val="000504A0"/>
    <w:rsid w:val="00050B6B"/>
    <w:rsid w:val="0005106C"/>
    <w:rsid w:val="00064CA8"/>
    <w:rsid w:val="00065D98"/>
    <w:rsid w:val="0007291B"/>
    <w:rsid w:val="00081C8F"/>
    <w:rsid w:val="00085A49"/>
    <w:rsid w:val="0009272E"/>
    <w:rsid w:val="00097F58"/>
    <w:rsid w:val="000A00EC"/>
    <w:rsid w:val="000A30BA"/>
    <w:rsid w:val="000A4868"/>
    <w:rsid w:val="000B14F5"/>
    <w:rsid w:val="000B34DF"/>
    <w:rsid w:val="000B6024"/>
    <w:rsid w:val="000B6357"/>
    <w:rsid w:val="000D26A1"/>
    <w:rsid w:val="000E47E9"/>
    <w:rsid w:val="000F3934"/>
    <w:rsid w:val="001118B9"/>
    <w:rsid w:val="00112941"/>
    <w:rsid w:val="00112A88"/>
    <w:rsid w:val="00112D6D"/>
    <w:rsid w:val="00113748"/>
    <w:rsid w:val="0011700B"/>
    <w:rsid w:val="001209E5"/>
    <w:rsid w:val="00120C93"/>
    <w:rsid w:val="00123D1D"/>
    <w:rsid w:val="001263CD"/>
    <w:rsid w:val="001311A7"/>
    <w:rsid w:val="00131D89"/>
    <w:rsid w:val="00136B88"/>
    <w:rsid w:val="0014533D"/>
    <w:rsid w:val="0014741A"/>
    <w:rsid w:val="00151A07"/>
    <w:rsid w:val="0015231B"/>
    <w:rsid w:val="00153ED1"/>
    <w:rsid w:val="00181E7C"/>
    <w:rsid w:val="00183285"/>
    <w:rsid w:val="001835C5"/>
    <w:rsid w:val="0018593D"/>
    <w:rsid w:val="00187F76"/>
    <w:rsid w:val="001A1231"/>
    <w:rsid w:val="001A2582"/>
    <w:rsid w:val="001A6F50"/>
    <w:rsid w:val="001B2F41"/>
    <w:rsid w:val="001C3F7D"/>
    <w:rsid w:val="001C7C49"/>
    <w:rsid w:val="001D0AD9"/>
    <w:rsid w:val="001E24BB"/>
    <w:rsid w:val="001F473C"/>
    <w:rsid w:val="001F7716"/>
    <w:rsid w:val="0020036B"/>
    <w:rsid w:val="00212146"/>
    <w:rsid w:val="002123BD"/>
    <w:rsid w:val="00234783"/>
    <w:rsid w:val="00246B97"/>
    <w:rsid w:val="00250D4A"/>
    <w:rsid w:val="00254D20"/>
    <w:rsid w:val="00263DA6"/>
    <w:rsid w:val="002662CF"/>
    <w:rsid w:val="00273FEA"/>
    <w:rsid w:val="002740E2"/>
    <w:rsid w:val="00286C9F"/>
    <w:rsid w:val="00295943"/>
    <w:rsid w:val="00297537"/>
    <w:rsid w:val="002A66DA"/>
    <w:rsid w:val="002B030F"/>
    <w:rsid w:val="002B33B4"/>
    <w:rsid w:val="002B3708"/>
    <w:rsid w:val="002C5246"/>
    <w:rsid w:val="002C7863"/>
    <w:rsid w:val="002D2D64"/>
    <w:rsid w:val="002D692D"/>
    <w:rsid w:val="003003BE"/>
    <w:rsid w:val="00301650"/>
    <w:rsid w:val="00324A29"/>
    <w:rsid w:val="003275D4"/>
    <w:rsid w:val="00332BCF"/>
    <w:rsid w:val="00336EE5"/>
    <w:rsid w:val="00351D97"/>
    <w:rsid w:val="00361A1C"/>
    <w:rsid w:val="00366A36"/>
    <w:rsid w:val="00380C48"/>
    <w:rsid w:val="0038598F"/>
    <w:rsid w:val="003A3E09"/>
    <w:rsid w:val="003A7886"/>
    <w:rsid w:val="003B1216"/>
    <w:rsid w:val="003B573D"/>
    <w:rsid w:val="003C73C9"/>
    <w:rsid w:val="003D47B7"/>
    <w:rsid w:val="003E506E"/>
    <w:rsid w:val="003F073B"/>
    <w:rsid w:val="003F5B3D"/>
    <w:rsid w:val="0042673D"/>
    <w:rsid w:val="00431014"/>
    <w:rsid w:val="00432B74"/>
    <w:rsid w:val="004350CB"/>
    <w:rsid w:val="00440562"/>
    <w:rsid w:val="00450852"/>
    <w:rsid w:val="00452FF8"/>
    <w:rsid w:val="0045313D"/>
    <w:rsid w:val="0045571A"/>
    <w:rsid w:val="00455738"/>
    <w:rsid w:val="0045647F"/>
    <w:rsid w:val="00463766"/>
    <w:rsid w:val="00473E5F"/>
    <w:rsid w:val="00477DC6"/>
    <w:rsid w:val="00483902"/>
    <w:rsid w:val="00484FDB"/>
    <w:rsid w:val="00486EF8"/>
    <w:rsid w:val="00491EF0"/>
    <w:rsid w:val="00494DD6"/>
    <w:rsid w:val="004A5EA6"/>
    <w:rsid w:val="004B663E"/>
    <w:rsid w:val="004C2E5E"/>
    <w:rsid w:val="004E14F5"/>
    <w:rsid w:val="004F6FED"/>
    <w:rsid w:val="0050235B"/>
    <w:rsid w:val="005120B9"/>
    <w:rsid w:val="00514E7C"/>
    <w:rsid w:val="00522947"/>
    <w:rsid w:val="005449F1"/>
    <w:rsid w:val="00563D2B"/>
    <w:rsid w:val="005675F4"/>
    <w:rsid w:val="005676A7"/>
    <w:rsid w:val="0057767D"/>
    <w:rsid w:val="00591937"/>
    <w:rsid w:val="00596FE5"/>
    <w:rsid w:val="005A473F"/>
    <w:rsid w:val="005A5E60"/>
    <w:rsid w:val="005D1BD7"/>
    <w:rsid w:val="005D3494"/>
    <w:rsid w:val="005E5AF7"/>
    <w:rsid w:val="005F19E9"/>
    <w:rsid w:val="005F43E2"/>
    <w:rsid w:val="00600B57"/>
    <w:rsid w:val="00617B86"/>
    <w:rsid w:val="0062422D"/>
    <w:rsid w:val="006277D3"/>
    <w:rsid w:val="006323C4"/>
    <w:rsid w:val="00641A0A"/>
    <w:rsid w:val="006466D5"/>
    <w:rsid w:val="00647293"/>
    <w:rsid w:val="00657F1E"/>
    <w:rsid w:val="00663D64"/>
    <w:rsid w:val="006652C6"/>
    <w:rsid w:val="0069138C"/>
    <w:rsid w:val="006A4BC8"/>
    <w:rsid w:val="006C1646"/>
    <w:rsid w:val="006D1938"/>
    <w:rsid w:val="006D752A"/>
    <w:rsid w:val="006E041F"/>
    <w:rsid w:val="006E2FFB"/>
    <w:rsid w:val="006E5C11"/>
    <w:rsid w:val="006E5F10"/>
    <w:rsid w:val="006E703C"/>
    <w:rsid w:val="007062B5"/>
    <w:rsid w:val="00706663"/>
    <w:rsid w:val="00720876"/>
    <w:rsid w:val="00720DAE"/>
    <w:rsid w:val="00724302"/>
    <w:rsid w:val="00727BF8"/>
    <w:rsid w:val="00734B32"/>
    <w:rsid w:val="00736120"/>
    <w:rsid w:val="00742667"/>
    <w:rsid w:val="00743416"/>
    <w:rsid w:val="0075032A"/>
    <w:rsid w:val="007554DA"/>
    <w:rsid w:val="00756368"/>
    <w:rsid w:val="00762C4B"/>
    <w:rsid w:val="00766AEB"/>
    <w:rsid w:val="00774DA7"/>
    <w:rsid w:val="00795D08"/>
    <w:rsid w:val="007A4E0A"/>
    <w:rsid w:val="007A6640"/>
    <w:rsid w:val="007A6E3B"/>
    <w:rsid w:val="007B66B2"/>
    <w:rsid w:val="007C36DF"/>
    <w:rsid w:val="007D24C8"/>
    <w:rsid w:val="007D2683"/>
    <w:rsid w:val="007E0305"/>
    <w:rsid w:val="007E0F21"/>
    <w:rsid w:val="007F3A39"/>
    <w:rsid w:val="00803D17"/>
    <w:rsid w:val="008175C2"/>
    <w:rsid w:val="008223D9"/>
    <w:rsid w:val="00825283"/>
    <w:rsid w:val="00827F1A"/>
    <w:rsid w:val="008302FD"/>
    <w:rsid w:val="0083325D"/>
    <w:rsid w:val="00833F73"/>
    <w:rsid w:val="00836FD5"/>
    <w:rsid w:val="00840B60"/>
    <w:rsid w:val="00846F81"/>
    <w:rsid w:val="00854950"/>
    <w:rsid w:val="0086528A"/>
    <w:rsid w:val="0087697A"/>
    <w:rsid w:val="008912BB"/>
    <w:rsid w:val="008A289C"/>
    <w:rsid w:val="008A3AD6"/>
    <w:rsid w:val="008B608D"/>
    <w:rsid w:val="008C7270"/>
    <w:rsid w:val="008D7AAF"/>
    <w:rsid w:val="008E0CF3"/>
    <w:rsid w:val="008E3AED"/>
    <w:rsid w:val="008F3696"/>
    <w:rsid w:val="008F76EF"/>
    <w:rsid w:val="00900A86"/>
    <w:rsid w:val="00915062"/>
    <w:rsid w:val="00917F66"/>
    <w:rsid w:val="00921B30"/>
    <w:rsid w:val="00924097"/>
    <w:rsid w:val="00926A6F"/>
    <w:rsid w:val="00941383"/>
    <w:rsid w:val="00943511"/>
    <w:rsid w:val="009449BE"/>
    <w:rsid w:val="0094665D"/>
    <w:rsid w:val="00951712"/>
    <w:rsid w:val="0095594C"/>
    <w:rsid w:val="009560FE"/>
    <w:rsid w:val="0096232E"/>
    <w:rsid w:val="00965BE1"/>
    <w:rsid w:val="00975AAA"/>
    <w:rsid w:val="00976B1C"/>
    <w:rsid w:val="00980398"/>
    <w:rsid w:val="0098495C"/>
    <w:rsid w:val="00987F44"/>
    <w:rsid w:val="00995568"/>
    <w:rsid w:val="00996D12"/>
    <w:rsid w:val="009A59E8"/>
    <w:rsid w:val="009B1DDD"/>
    <w:rsid w:val="009B43EC"/>
    <w:rsid w:val="009B537B"/>
    <w:rsid w:val="009B7D5C"/>
    <w:rsid w:val="009B7FD4"/>
    <w:rsid w:val="009C3A5B"/>
    <w:rsid w:val="009C44F3"/>
    <w:rsid w:val="009D1729"/>
    <w:rsid w:val="009D65B2"/>
    <w:rsid w:val="009D690F"/>
    <w:rsid w:val="009D6DA9"/>
    <w:rsid w:val="009D6FD3"/>
    <w:rsid w:val="009F3806"/>
    <w:rsid w:val="009F3C7A"/>
    <w:rsid w:val="009F43E0"/>
    <w:rsid w:val="009F708F"/>
    <w:rsid w:val="00A10CB7"/>
    <w:rsid w:val="00A157C4"/>
    <w:rsid w:val="00A1785C"/>
    <w:rsid w:val="00A24001"/>
    <w:rsid w:val="00A27966"/>
    <w:rsid w:val="00A30726"/>
    <w:rsid w:val="00A356E7"/>
    <w:rsid w:val="00A444E5"/>
    <w:rsid w:val="00A46FD9"/>
    <w:rsid w:val="00A50E6C"/>
    <w:rsid w:val="00A549BA"/>
    <w:rsid w:val="00A54EAF"/>
    <w:rsid w:val="00A836F2"/>
    <w:rsid w:val="00A85171"/>
    <w:rsid w:val="00A85FAB"/>
    <w:rsid w:val="00A930B2"/>
    <w:rsid w:val="00A96B82"/>
    <w:rsid w:val="00AA0AF7"/>
    <w:rsid w:val="00AA49CC"/>
    <w:rsid w:val="00AA6569"/>
    <w:rsid w:val="00AB3BB7"/>
    <w:rsid w:val="00AB7AF3"/>
    <w:rsid w:val="00AC14CB"/>
    <w:rsid w:val="00AC7624"/>
    <w:rsid w:val="00AD20E2"/>
    <w:rsid w:val="00AD53AC"/>
    <w:rsid w:val="00AD6932"/>
    <w:rsid w:val="00AD6B4D"/>
    <w:rsid w:val="00AD7A9A"/>
    <w:rsid w:val="00AE0183"/>
    <w:rsid w:val="00AF452A"/>
    <w:rsid w:val="00B23EBB"/>
    <w:rsid w:val="00B26EFF"/>
    <w:rsid w:val="00B348F5"/>
    <w:rsid w:val="00B36851"/>
    <w:rsid w:val="00B377BC"/>
    <w:rsid w:val="00B43118"/>
    <w:rsid w:val="00B53889"/>
    <w:rsid w:val="00B548E6"/>
    <w:rsid w:val="00B55BFF"/>
    <w:rsid w:val="00B60238"/>
    <w:rsid w:val="00B61801"/>
    <w:rsid w:val="00B656C4"/>
    <w:rsid w:val="00B663E8"/>
    <w:rsid w:val="00B719FB"/>
    <w:rsid w:val="00B72118"/>
    <w:rsid w:val="00B733AF"/>
    <w:rsid w:val="00B73A8E"/>
    <w:rsid w:val="00B7667A"/>
    <w:rsid w:val="00B82961"/>
    <w:rsid w:val="00B91284"/>
    <w:rsid w:val="00B93EAD"/>
    <w:rsid w:val="00B941C0"/>
    <w:rsid w:val="00B96AF2"/>
    <w:rsid w:val="00BA1A97"/>
    <w:rsid w:val="00BA2F0C"/>
    <w:rsid w:val="00BA37E4"/>
    <w:rsid w:val="00BA6944"/>
    <w:rsid w:val="00BB4C86"/>
    <w:rsid w:val="00BB5DA8"/>
    <w:rsid w:val="00BB7FD6"/>
    <w:rsid w:val="00BC65AF"/>
    <w:rsid w:val="00BD071E"/>
    <w:rsid w:val="00BD3C42"/>
    <w:rsid w:val="00BD6B90"/>
    <w:rsid w:val="00BE2ACF"/>
    <w:rsid w:val="00BE3A9A"/>
    <w:rsid w:val="00BE4B12"/>
    <w:rsid w:val="00BE76C1"/>
    <w:rsid w:val="00BF0099"/>
    <w:rsid w:val="00BF256A"/>
    <w:rsid w:val="00BF59CA"/>
    <w:rsid w:val="00BF7971"/>
    <w:rsid w:val="00C005C6"/>
    <w:rsid w:val="00C03E5E"/>
    <w:rsid w:val="00C11662"/>
    <w:rsid w:val="00C131CF"/>
    <w:rsid w:val="00C16400"/>
    <w:rsid w:val="00C24819"/>
    <w:rsid w:val="00C30F21"/>
    <w:rsid w:val="00C40182"/>
    <w:rsid w:val="00C457EF"/>
    <w:rsid w:val="00C45C6B"/>
    <w:rsid w:val="00C50F4F"/>
    <w:rsid w:val="00C535E9"/>
    <w:rsid w:val="00C563E3"/>
    <w:rsid w:val="00C56B31"/>
    <w:rsid w:val="00C60F88"/>
    <w:rsid w:val="00C77C34"/>
    <w:rsid w:val="00C87A3A"/>
    <w:rsid w:val="00C9372A"/>
    <w:rsid w:val="00CA04EF"/>
    <w:rsid w:val="00CB2DD2"/>
    <w:rsid w:val="00CB606D"/>
    <w:rsid w:val="00CD0B04"/>
    <w:rsid w:val="00CE0CC7"/>
    <w:rsid w:val="00D05A36"/>
    <w:rsid w:val="00D0715C"/>
    <w:rsid w:val="00D13411"/>
    <w:rsid w:val="00D1663C"/>
    <w:rsid w:val="00D3128C"/>
    <w:rsid w:val="00D32DCC"/>
    <w:rsid w:val="00D42478"/>
    <w:rsid w:val="00D4555A"/>
    <w:rsid w:val="00D53795"/>
    <w:rsid w:val="00D54C2B"/>
    <w:rsid w:val="00D5557E"/>
    <w:rsid w:val="00D557AD"/>
    <w:rsid w:val="00D63936"/>
    <w:rsid w:val="00D65538"/>
    <w:rsid w:val="00D74373"/>
    <w:rsid w:val="00D8601A"/>
    <w:rsid w:val="00D90FC6"/>
    <w:rsid w:val="00D93C5A"/>
    <w:rsid w:val="00D97023"/>
    <w:rsid w:val="00D974D3"/>
    <w:rsid w:val="00DB0C6B"/>
    <w:rsid w:val="00DB4E9D"/>
    <w:rsid w:val="00DB56A2"/>
    <w:rsid w:val="00DB56D3"/>
    <w:rsid w:val="00DC0316"/>
    <w:rsid w:val="00DC1AB9"/>
    <w:rsid w:val="00DC1B9F"/>
    <w:rsid w:val="00DD34A0"/>
    <w:rsid w:val="00DE2BA1"/>
    <w:rsid w:val="00DE5D9B"/>
    <w:rsid w:val="00E0130A"/>
    <w:rsid w:val="00E0585D"/>
    <w:rsid w:val="00E21981"/>
    <w:rsid w:val="00E24416"/>
    <w:rsid w:val="00E30F06"/>
    <w:rsid w:val="00E32AB9"/>
    <w:rsid w:val="00E33B00"/>
    <w:rsid w:val="00E42DC8"/>
    <w:rsid w:val="00E559E4"/>
    <w:rsid w:val="00E677E2"/>
    <w:rsid w:val="00E81DDE"/>
    <w:rsid w:val="00E83155"/>
    <w:rsid w:val="00E8396A"/>
    <w:rsid w:val="00E83FBE"/>
    <w:rsid w:val="00E850A5"/>
    <w:rsid w:val="00E85677"/>
    <w:rsid w:val="00E85E58"/>
    <w:rsid w:val="00E85FAE"/>
    <w:rsid w:val="00E96784"/>
    <w:rsid w:val="00EA18DA"/>
    <w:rsid w:val="00EB4A44"/>
    <w:rsid w:val="00EC1460"/>
    <w:rsid w:val="00EC1500"/>
    <w:rsid w:val="00EC40F7"/>
    <w:rsid w:val="00EC4336"/>
    <w:rsid w:val="00ED1A46"/>
    <w:rsid w:val="00ED3392"/>
    <w:rsid w:val="00EF7070"/>
    <w:rsid w:val="00F017BD"/>
    <w:rsid w:val="00F04491"/>
    <w:rsid w:val="00F047BB"/>
    <w:rsid w:val="00F056D5"/>
    <w:rsid w:val="00F118A5"/>
    <w:rsid w:val="00F26F29"/>
    <w:rsid w:val="00F34C89"/>
    <w:rsid w:val="00F40E0C"/>
    <w:rsid w:val="00F53B7F"/>
    <w:rsid w:val="00F55ABA"/>
    <w:rsid w:val="00F57487"/>
    <w:rsid w:val="00F66F0F"/>
    <w:rsid w:val="00F6745C"/>
    <w:rsid w:val="00F67DF9"/>
    <w:rsid w:val="00F80401"/>
    <w:rsid w:val="00F831D1"/>
    <w:rsid w:val="00F87341"/>
    <w:rsid w:val="00F87F51"/>
    <w:rsid w:val="00F92435"/>
    <w:rsid w:val="00F93E85"/>
    <w:rsid w:val="00F96791"/>
    <w:rsid w:val="00FA098C"/>
    <w:rsid w:val="00FB59B1"/>
    <w:rsid w:val="00FC6611"/>
    <w:rsid w:val="00FD0EA7"/>
    <w:rsid w:val="00FD2923"/>
    <w:rsid w:val="00FD4635"/>
    <w:rsid w:val="00FE647A"/>
    <w:rsid w:val="00FF2085"/>
    <w:rsid w:val="00FF677D"/>
    <w:rsid w:val="01164C3A"/>
    <w:rsid w:val="02DD42A2"/>
    <w:rsid w:val="031B0BBC"/>
    <w:rsid w:val="034B325D"/>
    <w:rsid w:val="03A6DBAD"/>
    <w:rsid w:val="0476B61E"/>
    <w:rsid w:val="06574005"/>
    <w:rsid w:val="066CF891"/>
    <w:rsid w:val="06A8F46F"/>
    <w:rsid w:val="06C28173"/>
    <w:rsid w:val="06E3DE5C"/>
    <w:rsid w:val="076B8B00"/>
    <w:rsid w:val="076DD213"/>
    <w:rsid w:val="09DFEA05"/>
    <w:rsid w:val="0C0EA4A2"/>
    <w:rsid w:val="0D189A9A"/>
    <w:rsid w:val="0D5705C4"/>
    <w:rsid w:val="0E229092"/>
    <w:rsid w:val="0E9F8E24"/>
    <w:rsid w:val="0FB636FF"/>
    <w:rsid w:val="0FC6804F"/>
    <w:rsid w:val="10605D6E"/>
    <w:rsid w:val="1087AA87"/>
    <w:rsid w:val="108B6986"/>
    <w:rsid w:val="10958C5A"/>
    <w:rsid w:val="10DF703D"/>
    <w:rsid w:val="11C625E5"/>
    <w:rsid w:val="13CEF193"/>
    <w:rsid w:val="14D455F5"/>
    <w:rsid w:val="1559F84D"/>
    <w:rsid w:val="15B36052"/>
    <w:rsid w:val="1656FDF9"/>
    <w:rsid w:val="1711A7FF"/>
    <w:rsid w:val="17E18175"/>
    <w:rsid w:val="18A6C55D"/>
    <w:rsid w:val="18D844C8"/>
    <w:rsid w:val="19280D7A"/>
    <w:rsid w:val="19DA8616"/>
    <w:rsid w:val="1ACA7FCB"/>
    <w:rsid w:val="1AD518B2"/>
    <w:rsid w:val="1C717A10"/>
    <w:rsid w:val="1DF7D580"/>
    <w:rsid w:val="20218DCF"/>
    <w:rsid w:val="20C6A886"/>
    <w:rsid w:val="20D66459"/>
    <w:rsid w:val="21577C38"/>
    <w:rsid w:val="22AF51C9"/>
    <w:rsid w:val="23F431AE"/>
    <w:rsid w:val="24701CF6"/>
    <w:rsid w:val="259C8221"/>
    <w:rsid w:val="25FC8059"/>
    <w:rsid w:val="266AC4DE"/>
    <w:rsid w:val="276AFC50"/>
    <w:rsid w:val="277DAE18"/>
    <w:rsid w:val="279C8D59"/>
    <w:rsid w:val="27CFF5DD"/>
    <w:rsid w:val="27FFD6A9"/>
    <w:rsid w:val="29D2F98F"/>
    <w:rsid w:val="2A0B8D6B"/>
    <w:rsid w:val="2A2E6C7F"/>
    <w:rsid w:val="2ABF676F"/>
    <w:rsid w:val="2B2F580F"/>
    <w:rsid w:val="2C63CCE6"/>
    <w:rsid w:val="2C71EB80"/>
    <w:rsid w:val="310B362B"/>
    <w:rsid w:val="3141C4CE"/>
    <w:rsid w:val="31F65F49"/>
    <w:rsid w:val="31FB571E"/>
    <w:rsid w:val="329E2F4E"/>
    <w:rsid w:val="35AF2B82"/>
    <w:rsid w:val="35D9AF20"/>
    <w:rsid w:val="35E39F7C"/>
    <w:rsid w:val="368682E6"/>
    <w:rsid w:val="3741EB00"/>
    <w:rsid w:val="3801A306"/>
    <w:rsid w:val="38DEC2BA"/>
    <w:rsid w:val="39B99021"/>
    <w:rsid w:val="3A0374A6"/>
    <w:rsid w:val="3FB07906"/>
    <w:rsid w:val="3FB69491"/>
    <w:rsid w:val="40383042"/>
    <w:rsid w:val="414B8A58"/>
    <w:rsid w:val="42F467AB"/>
    <w:rsid w:val="451AEF38"/>
    <w:rsid w:val="451DF9C0"/>
    <w:rsid w:val="4606922D"/>
    <w:rsid w:val="49725EE8"/>
    <w:rsid w:val="49D44D91"/>
    <w:rsid w:val="49E844D0"/>
    <w:rsid w:val="4A59318F"/>
    <w:rsid w:val="4BA5058D"/>
    <w:rsid w:val="4DF1C954"/>
    <w:rsid w:val="4EA45E96"/>
    <w:rsid w:val="50108BED"/>
    <w:rsid w:val="510C62A9"/>
    <w:rsid w:val="5141EA98"/>
    <w:rsid w:val="51FA265E"/>
    <w:rsid w:val="5235E52C"/>
    <w:rsid w:val="527133C0"/>
    <w:rsid w:val="52EEC828"/>
    <w:rsid w:val="538C4EBD"/>
    <w:rsid w:val="53ED4567"/>
    <w:rsid w:val="54FD41BA"/>
    <w:rsid w:val="551A652B"/>
    <w:rsid w:val="553A6BE6"/>
    <w:rsid w:val="56253A9C"/>
    <w:rsid w:val="56D84018"/>
    <w:rsid w:val="57CDBDE0"/>
    <w:rsid w:val="58324B50"/>
    <w:rsid w:val="5B08CDD1"/>
    <w:rsid w:val="5B251D5C"/>
    <w:rsid w:val="5B693F6A"/>
    <w:rsid w:val="5C31E6EE"/>
    <w:rsid w:val="5C58B6D7"/>
    <w:rsid w:val="5C59879B"/>
    <w:rsid w:val="5FAE7824"/>
    <w:rsid w:val="5FD0B069"/>
    <w:rsid w:val="60EF1E91"/>
    <w:rsid w:val="614E2DC7"/>
    <w:rsid w:val="62022471"/>
    <w:rsid w:val="62135F48"/>
    <w:rsid w:val="62139219"/>
    <w:rsid w:val="62CCA888"/>
    <w:rsid w:val="62D50FE5"/>
    <w:rsid w:val="6323EC98"/>
    <w:rsid w:val="64510BBA"/>
    <w:rsid w:val="65314BC8"/>
    <w:rsid w:val="656261FF"/>
    <w:rsid w:val="67F75DBB"/>
    <w:rsid w:val="68858AEA"/>
    <w:rsid w:val="68D19A25"/>
    <w:rsid w:val="69C6D409"/>
    <w:rsid w:val="6A33F245"/>
    <w:rsid w:val="6A4DFF60"/>
    <w:rsid w:val="6B562EF0"/>
    <w:rsid w:val="6C50E24F"/>
    <w:rsid w:val="6C8F0995"/>
    <w:rsid w:val="6D64FA79"/>
    <w:rsid w:val="6FF25826"/>
    <w:rsid w:val="703555DC"/>
    <w:rsid w:val="70981347"/>
    <w:rsid w:val="71336DD2"/>
    <w:rsid w:val="71778FE0"/>
    <w:rsid w:val="72292903"/>
    <w:rsid w:val="72CB5F23"/>
    <w:rsid w:val="72D527E8"/>
    <w:rsid w:val="736B8006"/>
    <w:rsid w:val="743E273D"/>
    <w:rsid w:val="7839457F"/>
    <w:rsid w:val="78999977"/>
    <w:rsid w:val="7B0A37B8"/>
    <w:rsid w:val="7B24CC15"/>
    <w:rsid w:val="7D3E7981"/>
    <w:rsid w:val="7D4242BF"/>
    <w:rsid w:val="7EBF8EE9"/>
    <w:rsid w:val="7FFF87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F245"/>
  <w15:chartTrackingRefBased/>
  <w15:docId w15:val="{FB06A98B-79F9-4078-8900-12339E97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1A1C"/>
    <w:pPr>
      <w:keepNext/>
      <w:keepLines/>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BA37E4"/>
    <w:pPr>
      <w:keepNext/>
      <w:keepLines/>
      <w:spacing w:before="16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A37E4"/>
    <w:pPr>
      <w:keepNext/>
      <w:keepLines/>
      <w:spacing w:before="120" w:after="12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Nivel 2 Vanc Car"/>
    <w:basedOn w:val="Fuentedeprrafopredeter"/>
    <w:link w:val="Ttulo2"/>
    <w:uiPriority w:val="9"/>
    <w:rsid w:val="00BA37E4"/>
    <w:rPr>
      <w:rFonts w:ascii="Arial" w:eastAsiaTheme="majorEastAsia" w:hAnsi="Arial" w:cstheme="majorBidi"/>
      <w:b/>
      <w:sz w:val="24"/>
      <w:szCs w:val="26"/>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sid w:val="00361A1C"/>
    <w:rPr>
      <w:rFonts w:ascii="Arial" w:eastAsiaTheme="majorEastAsia" w:hAnsi="Arial" w:cstheme="majorBidi"/>
      <w:b/>
      <w:color w:val="000000" w:themeColor="text1"/>
      <w:sz w:val="24"/>
      <w:szCs w:val="32"/>
    </w:r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ormaltextrun">
    <w:name w:val="normaltextrun"/>
    <w:basedOn w:val="Fuentedeprrafopredeter"/>
    <w:rsid w:val="00995568"/>
  </w:style>
  <w:style w:type="character" w:customStyle="1" w:styleId="eop">
    <w:name w:val="eop"/>
    <w:basedOn w:val="Fuentedeprrafopredeter"/>
    <w:rsid w:val="00995568"/>
  </w:style>
  <w:style w:type="character" w:customStyle="1" w:styleId="highwire-cite-authors">
    <w:name w:val="highwire-cite-authors"/>
    <w:basedOn w:val="Fuentedeprrafopredeter"/>
    <w:rsid w:val="000B6024"/>
  </w:style>
  <w:style w:type="character" w:customStyle="1" w:styleId="nlm-surname">
    <w:name w:val="nlm-surname"/>
    <w:basedOn w:val="Fuentedeprrafopredeter"/>
    <w:rsid w:val="000B6024"/>
  </w:style>
  <w:style w:type="character" w:customStyle="1" w:styleId="nlm-given-names">
    <w:name w:val="nlm-given-names"/>
    <w:basedOn w:val="Fuentedeprrafopredeter"/>
    <w:rsid w:val="000B6024"/>
  </w:style>
  <w:style w:type="character" w:customStyle="1" w:styleId="highwire-cite-title">
    <w:name w:val="highwire-cite-title"/>
    <w:basedOn w:val="Fuentedeprrafopredeter"/>
    <w:rsid w:val="000B6024"/>
  </w:style>
  <w:style w:type="character" w:customStyle="1" w:styleId="highwire-cite-metadata-journal">
    <w:name w:val="highwire-cite-metadata-journal"/>
    <w:basedOn w:val="Fuentedeprrafopredeter"/>
    <w:rsid w:val="000B6024"/>
  </w:style>
  <w:style w:type="character" w:customStyle="1" w:styleId="highwire-cite-metadata-date">
    <w:name w:val="highwire-cite-metadata-date"/>
    <w:basedOn w:val="Fuentedeprrafopredeter"/>
    <w:rsid w:val="000B6024"/>
  </w:style>
  <w:style w:type="character" w:customStyle="1" w:styleId="highwire-cite-metadata-volume">
    <w:name w:val="highwire-cite-metadata-volume"/>
    <w:basedOn w:val="Fuentedeprrafopredeter"/>
    <w:rsid w:val="000B6024"/>
  </w:style>
  <w:style w:type="paragraph" w:styleId="Asuntodelcomentario">
    <w:name w:val="annotation subject"/>
    <w:basedOn w:val="Textocomentario"/>
    <w:next w:val="Textocomentario"/>
    <w:link w:val="AsuntodelcomentarioCar"/>
    <w:uiPriority w:val="99"/>
    <w:semiHidden/>
    <w:unhideWhenUsed/>
    <w:rsid w:val="008A3AD6"/>
    <w:rPr>
      <w:b/>
      <w:bCs/>
    </w:rPr>
  </w:style>
  <w:style w:type="character" w:customStyle="1" w:styleId="AsuntodelcomentarioCar">
    <w:name w:val="Asunto del comentario Car"/>
    <w:basedOn w:val="TextocomentarioCar"/>
    <w:link w:val="Asuntodelcomentario"/>
    <w:uiPriority w:val="99"/>
    <w:semiHidden/>
    <w:rsid w:val="008A3AD6"/>
    <w:rPr>
      <w:b/>
      <w:bCs/>
      <w:sz w:val="20"/>
      <w:szCs w:val="20"/>
    </w:rPr>
  </w:style>
  <w:style w:type="paragraph" w:styleId="Textodeglobo">
    <w:name w:val="Balloon Text"/>
    <w:basedOn w:val="Normal"/>
    <w:link w:val="TextodegloboCar"/>
    <w:uiPriority w:val="99"/>
    <w:semiHidden/>
    <w:unhideWhenUsed/>
    <w:rsid w:val="00825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283"/>
    <w:rPr>
      <w:rFonts w:ascii="Segoe UI" w:hAnsi="Segoe UI" w:cs="Segoe UI"/>
      <w:sz w:val="18"/>
      <w:szCs w:val="18"/>
    </w:rPr>
  </w:style>
  <w:style w:type="character" w:styleId="Mencinsinresolver">
    <w:name w:val="Unresolved Mention"/>
    <w:basedOn w:val="Fuentedeprrafopredeter"/>
    <w:uiPriority w:val="99"/>
    <w:semiHidden/>
    <w:unhideWhenUsed/>
    <w:rsid w:val="00486EF8"/>
    <w:rPr>
      <w:color w:val="605E5C"/>
      <w:shd w:val="clear" w:color="auto" w:fill="E1DFDD"/>
    </w:rPr>
  </w:style>
  <w:style w:type="character" w:styleId="Hipervnculovisitado">
    <w:name w:val="FollowedHyperlink"/>
    <w:basedOn w:val="Fuentedeprrafopredeter"/>
    <w:uiPriority w:val="99"/>
    <w:semiHidden/>
    <w:unhideWhenUsed/>
    <w:rsid w:val="00987F44"/>
    <w:rPr>
      <w:color w:val="954F72" w:themeColor="followedHyperlink"/>
      <w:u w:val="single"/>
    </w:rPr>
  </w:style>
  <w:style w:type="paragraph" w:styleId="TtuloTDC">
    <w:name w:val="TOC Heading"/>
    <w:basedOn w:val="Ttulo1"/>
    <w:next w:val="Normal"/>
    <w:uiPriority w:val="39"/>
    <w:unhideWhenUsed/>
    <w:qFormat/>
    <w:rsid w:val="00361A1C"/>
    <w:pPr>
      <w:outlineLvl w:val="9"/>
    </w:pPr>
    <w:rPr>
      <w:lang w:eastAsia="es-ES"/>
    </w:rPr>
  </w:style>
  <w:style w:type="character" w:customStyle="1" w:styleId="Ttulo3Car">
    <w:name w:val="Título 3 Car"/>
    <w:basedOn w:val="Fuentedeprrafopredeter"/>
    <w:link w:val="Ttulo3"/>
    <w:uiPriority w:val="9"/>
    <w:rsid w:val="00BA37E4"/>
    <w:rPr>
      <w:rFonts w:ascii="Arial" w:eastAsiaTheme="majorEastAsia" w:hAnsi="Arial" w:cstheme="majorBidi"/>
      <w:b/>
      <w:sz w:val="24"/>
      <w:szCs w:val="24"/>
    </w:rPr>
  </w:style>
  <w:style w:type="paragraph" w:styleId="TDC1">
    <w:name w:val="toc 1"/>
    <w:basedOn w:val="Normal"/>
    <w:next w:val="Normal"/>
    <w:autoRedefine/>
    <w:uiPriority w:val="39"/>
    <w:unhideWhenUsed/>
    <w:rsid w:val="005E5AF7"/>
    <w:pPr>
      <w:spacing w:after="100"/>
    </w:pPr>
  </w:style>
  <w:style w:type="paragraph" w:styleId="TDC2">
    <w:name w:val="toc 2"/>
    <w:basedOn w:val="Normal"/>
    <w:next w:val="Normal"/>
    <w:autoRedefine/>
    <w:uiPriority w:val="39"/>
    <w:unhideWhenUsed/>
    <w:rsid w:val="005E5AF7"/>
    <w:pPr>
      <w:spacing w:after="100"/>
      <w:ind w:left="220"/>
    </w:pPr>
  </w:style>
  <w:style w:type="paragraph" w:styleId="TDC3">
    <w:name w:val="toc 3"/>
    <w:basedOn w:val="Normal"/>
    <w:next w:val="Normal"/>
    <w:autoRedefine/>
    <w:uiPriority w:val="39"/>
    <w:unhideWhenUsed/>
    <w:rsid w:val="00BA37E4"/>
    <w:pPr>
      <w:spacing w:after="100"/>
      <w:ind w:left="440"/>
    </w:pPr>
  </w:style>
  <w:style w:type="paragraph" w:styleId="Revisin">
    <w:name w:val="Revision"/>
    <w:hidden/>
    <w:uiPriority w:val="99"/>
    <w:semiHidden/>
    <w:rsid w:val="005E5AF7"/>
    <w:pPr>
      <w:spacing w:after="0" w:line="240" w:lineRule="auto"/>
    </w:pPr>
  </w:style>
  <w:style w:type="table" w:styleId="Tablanormal5">
    <w:name w:val="Plain Table 5"/>
    <w:basedOn w:val="Tablanormal"/>
    <w:uiPriority w:val="45"/>
    <w:rsid w:val="001118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1118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85FA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0">
    <w:name w:val="Estilo10"/>
    <w:basedOn w:val="Fuentedeprrafopredeter"/>
    <w:uiPriority w:val="1"/>
    <w:rsid w:val="00A85FAB"/>
    <w:rPr>
      <w:rFonts w:ascii="Times New Roman" w:hAnsi="Times New Roman"/>
      <w:sz w:val="20"/>
    </w:rPr>
  </w:style>
  <w:style w:type="character" w:customStyle="1" w:styleId="Estilo3">
    <w:name w:val="Estilo3"/>
    <w:basedOn w:val="Fuentedeprrafopredeter"/>
    <w:uiPriority w:val="1"/>
    <w:rsid w:val="005675F4"/>
    <w:rPr>
      <w:rFonts w:ascii="Times New Roman" w:hAnsi="Times New Roman"/>
      <w:sz w:val="24"/>
    </w:rPr>
  </w:style>
  <w:style w:type="character" w:customStyle="1" w:styleId="Estilo5">
    <w:name w:val="Estilo5"/>
    <w:basedOn w:val="Fuentedeprrafopredeter"/>
    <w:uiPriority w:val="1"/>
    <w:rsid w:val="005675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07">
      <w:bodyDiv w:val="1"/>
      <w:marLeft w:val="0"/>
      <w:marRight w:val="0"/>
      <w:marTop w:val="0"/>
      <w:marBottom w:val="0"/>
      <w:divBdr>
        <w:top w:val="none" w:sz="0" w:space="0" w:color="auto"/>
        <w:left w:val="none" w:sz="0" w:space="0" w:color="auto"/>
        <w:bottom w:val="none" w:sz="0" w:space="0" w:color="auto"/>
        <w:right w:val="none" w:sz="0" w:space="0" w:color="auto"/>
      </w:divBdr>
    </w:div>
    <w:div w:id="209000079">
      <w:bodyDiv w:val="1"/>
      <w:marLeft w:val="0"/>
      <w:marRight w:val="0"/>
      <w:marTop w:val="0"/>
      <w:marBottom w:val="0"/>
      <w:divBdr>
        <w:top w:val="none" w:sz="0" w:space="0" w:color="auto"/>
        <w:left w:val="none" w:sz="0" w:space="0" w:color="auto"/>
        <w:bottom w:val="none" w:sz="0" w:space="0" w:color="auto"/>
        <w:right w:val="none" w:sz="0" w:space="0" w:color="auto"/>
      </w:divBdr>
    </w:div>
    <w:div w:id="228073611">
      <w:bodyDiv w:val="1"/>
      <w:marLeft w:val="0"/>
      <w:marRight w:val="0"/>
      <w:marTop w:val="0"/>
      <w:marBottom w:val="0"/>
      <w:divBdr>
        <w:top w:val="none" w:sz="0" w:space="0" w:color="auto"/>
        <w:left w:val="none" w:sz="0" w:space="0" w:color="auto"/>
        <w:bottom w:val="none" w:sz="0" w:space="0" w:color="auto"/>
        <w:right w:val="none" w:sz="0" w:space="0" w:color="auto"/>
      </w:divBdr>
    </w:div>
    <w:div w:id="270406177">
      <w:bodyDiv w:val="1"/>
      <w:marLeft w:val="0"/>
      <w:marRight w:val="0"/>
      <w:marTop w:val="0"/>
      <w:marBottom w:val="0"/>
      <w:divBdr>
        <w:top w:val="none" w:sz="0" w:space="0" w:color="auto"/>
        <w:left w:val="none" w:sz="0" w:space="0" w:color="auto"/>
        <w:bottom w:val="none" w:sz="0" w:space="0" w:color="auto"/>
        <w:right w:val="none" w:sz="0" w:space="0" w:color="auto"/>
      </w:divBdr>
    </w:div>
    <w:div w:id="357583504">
      <w:bodyDiv w:val="1"/>
      <w:marLeft w:val="0"/>
      <w:marRight w:val="0"/>
      <w:marTop w:val="0"/>
      <w:marBottom w:val="0"/>
      <w:divBdr>
        <w:top w:val="none" w:sz="0" w:space="0" w:color="auto"/>
        <w:left w:val="none" w:sz="0" w:space="0" w:color="auto"/>
        <w:bottom w:val="none" w:sz="0" w:space="0" w:color="auto"/>
        <w:right w:val="none" w:sz="0" w:space="0" w:color="auto"/>
      </w:divBdr>
    </w:div>
    <w:div w:id="701977671">
      <w:bodyDiv w:val="1"/>
      <w:marLeft w:val="0"/>
      <w:marRight w:val="0"/>
      <w:marTop w:val="0"/>
      <w:marBottom w:val="0"/>
      <w:divBdr>
        <w:top w:val="none" w:sz="0" w:space="0" w:color="auto"/>
        <w:left w:val="none" w:sz="0" w:space="0" w:color="auto"/>
        <w:bottom w:val="none" w:sz="0" w:space="0" w:color="auto"/>
        <w:right w:val="none" w:sz="0" w:space="0" w:color="auto"/>
      </w:divBdr>
    </w:div>
    <w:div w:id="887257762">
      <w:bodyDiv w:val="1"/>
      <w:marLeft w:val="0"/>
      <w:marRight w:val="0"/>
      <w:marTop w:val="0"/>
      <w:marBottom w:val="0"/>
      <w:divBdr>
        <w:top w:val="none" w:sz="0" w:space="0" w:color="auto"/>
        <w:left w:val="none" w:sz="0" w:space="0" w:color="auto"/>
        <w:bottom w:val="none" w:sz="0" w:space="0" w:color="auto"/>
        <w:right w:val="none" w:sz="0" w:space="0" w:color="auto"/>
      </w:divBdr>
    </w:div>
    <w:div w:id="1013801337">
      <w:bodyDiv w:val="1"/>
      <w:marLeft w:val="0"/>
      <w:marRight w:val="0"/>
      <w:marTop w:val="0"/>
      <w:marBottom w:val="0"/>
      <w:divBdr>
        <w:top w:val="none" w:sz="0" w:space="0" w:color="auto"/>
        <w:left w:val="none" w:sz="0" w:space="0" w:color="auto"/>
        <w:bottom w:val="none" w:sz="0" w:space="0" w:color="auto"/>
        <w:right w:val="none" w:sz="0" w:space="0" w:color="auto"/>
      </w:divBdr>
    </w:div>
    <w:div w:id="1383559121">
      <w:bodyDiv w:val="1"/>
      <w:marLeft w:val="0"/>
      <w:marRight w:val="0"/>
      <w:marTop w:val="0"/>
      <w:marBottom w:val="0"/>
      <w:divBdr>
        <w:top w:val="none" w:sz="0" w:space="0" w:color="auto"/>
        <w:left w:val="none" w:sz="0" w:space="0" w:color="auto"/>
        <w:bottom w:val="none" w:sz="0" w:space="0" w:color="auto"/>
        <w:right w:val="none" w:sz="0" w:space="0" w:color="auto"/>
      </w:divBdr>
    </w:div>
    <w:div w:id="1419979467">
      <w:bodyDiv w:val="1"/>
      <w:marLeft w:val="0"/>
      <w:marRight w:val="0"/>
      <w:marTop w:val="0"/>
      <w:marBottom w:val="0"/>
      <w:divBdr>
        <w:top w:val="none" w:sz="0" w:space="0" w:color="auto"/>
        <w:left w:val="none" w:sz="0" w:space="0" w:color="auto"/>
        <w:bottom w:val="none" w:sz="0" w:space="0" w:color="auto"/>
        <w:right w:val="none" w:sz="0" w:space="0" w:color="auto"/>
      </w:divBdr>
    </w:div>
    <w:div w:id="15689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efa51aa98a0c47e3"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gdt.gradepro.or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04F7069AD493DAB2FDB6C058D26AE"/>
        <w:category>
          <w:name w:val="General"/>
          <w:gallery w:val="placeholder"/>
        </w:category>
        <w:types>
          <w:type w:val="bbPlcHdr"/>
        </w:types>
        <w:behaviors>
          <w:behavior w:val="content"/>
        </w:behaviors>
        <w:guid w:val="{A2A119C0-7266-4D77-826B-8FF6E6985144}"/>
      </w:docPartPr>
      <w:docPartBody>
        <w:p w:rsidR="00053CB3" w:rsidRDefault="00345E00" w:rsidP="00345E00">
          <w:pPr>
            <w:pStyle w:val="FE804F7069AD493DAB2FDB6C058D26AE"/>
          </w:pPr>
          <w:r w:rsidRPr="00171C88">
            <w:rPr>
              <w:rStyle w:val="Textodelmarcadordeposicin"/>
            </w:rPr>
            <w:t>Elija un elemento.</w:t>
          </w:r>
        </w:p>
      </w:docPartBody>
    </w:docPart>
    <w:docPart>
      <w:docPartPr>
        <w:name w:val="E72808F66CDB4F149092025778BC821A"/>
        <w:category>
          <w:name w:val="General"/>
          <w:gallery w:val="placeholder"/>
        </w:category>
        <w:types>
          <w:type w:val="bbPlcHdr"/>
        </w:types>
        <w:behaviors>
          <w:behavior w:val="content"/>
        </w:behaviors>
        <w:guid w:val="{0E2C0D44-2D0B-4DF0-B743-5770C3B026F5}"/>
      </w:docPartPr>
      <w:docPartBody>
        <w:p w:rsidR="00053CB3" w:rsidRDefault="00345E00" w:rsidP="00345E00">
          <w:pPr>
            <w:pStyle w:val="E72808F66CDB4F149092025778BC821A"/>
          </w:pPr>
          <w:r w:rsidRPr="007A2281">
            <w:rPr>
              <w:rStyle w:val="Textodelmarcadordeposicin"/>
            </w:rPr>
            <w:t>Elija un elemento.</w:t>
          </w:r>
        </w:p>
      </w:docPartBody>
    </w:docPart>
    <w:docPart>
      <w:docPartPr>
        <w:name w:val="03C0C2AC63E54F9AA8A5684B2B315536"/>
        <w:category>
          <w:name w:val="General"/>
          <w:gallery w:val="placeholder"/>
        </w:category>
        <w:types>
          <w:type w:val="bbPlcHdr"/>
        </w:types>
        <w:behaviors>
          <w:behavior w:val="content"/>
        </w:behaviors>
        <w:guid w:val="{EEE51CEE-4789-402B-A9C2-C87CF1764ACD}"/>
      </w:docPartPr>
      <w:docPartBody>
        <w:p w:rsidR="00053CB3" w:rsidRDefault="00345E00" w:rsidP="00345E00">
          <w:pPr>
            <w:pStyle w:val="03C0C2AC63E54F9AA8A5684B2B315536"/>
          </w:pPr>
          <w:r w:rsidRPr="007A2281">
            <w:rPr>
              <w:rStyle w:val="Textodelmarcadordeposicin"/>
            </w:rPr>
            <w:t>Elija un elemento.</w:t>
          </w:r>
        </w:p>
      </w:docPartBody>
    </w:docPart>
    <w:docPart>
      <w:docPartPr>
        <w:name w:val="0E300CF1859A481199498A1B3505DB32"/>
        <w:category>
          <w:name w:val="General"/>
          <w:gallery w:val="placeholder"/>
        </w:category>
        <w:types>
          <w:type w:val="bbPlcHdr"/>
        </w:types>
        <w:behaviors>
          <w:behavior w:val="content"/>
        </w:behaviors>
        <w:guid w:val="{C101D49D-6990-4114-8750-4E89C2113969}"/>
      </w:docPartPr>
      <w:docPartBody>
        <w:p w:rsidR="00000000" w:rsidRDefault="00053CB3" w:rsidP="00053CB3">
          <w:pPr>
            <w:pStyle w:val="0E300CF1859A481199498A1B3505DB32"/>
          </w:pPr>
          <w:r w:rsidRPr="007A2281">
            <w:rPr>
              <w:rStyle w:val="Textodelmarcadordeposicin"/>
            </w:rPr>
            <w:t>Elija un elemento.</w:t>
          </w:r>
        </w:p>
      </w:docPartBody>
    </w:docPart>
    <w:docPart>
      <w:docPartPr>
        <w:name w:val="BB7C7716ACDF4C3EA53E2BD9B3196260"/>
        <w:category>
          <w:name w:val="General"/>
          <w:gallery w:val="placeholder"/>
        </w:category>
        <w:types>
          <w:type w:val="bbPlcHdr"/>
        </w:types>
        <w:behaviors>
          <w:behavior w:val="content"/>
        </w:behaviors>
        <w:guid w:val="{6200F95E-394E-454A-832A-6B9CD9D7743A}"/>
      </w:docPartPr>
      <w:docPartBody>
        <w:p w:rsidR="00000000" w:rsidRDefault="00053CB3" w:rsidP="00053CB3">
          <w:pPr>
            <w:pStyle w:val="BB7C7716ACDF4C3EA53E2BD9B3196260"/>
          </w:pPr>
          <w:r>
            <w:rPr>
              <w:rStyle w:val="Textodelmarcadordeposicin"/>
            </w:rPr>
            <w:t>Elija un elemento.</w:t>
          </w:r>
        </w:p>
      </w:docPartBody>
    </w:docPart>
    <w:docPart>
      <w:docPartPr>
        <w:name w:val="133884715E0D466895E0D5A25CF9E59F"/>
        <w:category>
          <w:name w:val="General"/>
          <w:gallery w:val="placeholder"/>
        </w:category>
        <w:types>
          <w:type w:val="bbPlcHdr"/>
        </w:types>
        <w:behaviors>
          <w:behavior w:val="content"/>
        </w:behaviors>
        <w:guid w:val="{B48BE158-D79C-48AF-B9B6-0DE5F0F07C17}"/>
      </w:docPartPr>
      <w:docPartBody>
        <w:p w:rsidR="00000000" w:rsidRDefault="00053CB3" w:rsidP="00053CB3">
          <w:pPr>
            <w:pStyle w:val="133884715E0D466895E0D5A25CF9E5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00"/>
    <w:rsid w:val="00053CB3"/>
    <w:rsid w:val="00345E00"/>
    <w:rsid w:val="0079553D"/>
    <w:rsid w:val="00C10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3CB3"/>
    <w:rPr>
      <w:color w:val="808080"/>
    </w:rPr>
  </w:style>
  <w:style w:type="paragraph" w:customStyle="1" w:styleId="FE804F7069AD493DAB2FDB6C058D26AE">
    <w:name w:val="FE804F7069AD493DAB2FDB6C058D26AE"/>
    <w:rsid w:val="00345E00"/>
  </w:style>
  <w:style w:type="paragraph" w:customStyle="1" w:styleId="E72808F66CDB4F149092025778BC821A">
    <w:name w:val="E72808F66CDB4F149092025778BC821A"/>
    <w:rsid w:val="00345E00"/>
  </w:style>
  <w:style w:type="paragraph" w:customStyle="1" w:styleId="03C0C2AC63E54F9AA8A5684B2B315536">
    <w:name w:val="03C0C2AC63E54F9AA8A5684B2B315536"/>
    <w:rsid w:val="00345E00"/>
  </w:style>
  <w:style w:type="paragraph" w:customStyle="1" w:styleId="0E300CF1859A481199498A1B3505DB32">
    <w:name w:val="0E300CF1859A481199498A1B3505DB32"/>
    <w:rsid w:val="00053CB3"/>
  </w:style>
  <w:style w:type="paragraph" w:customStyle="1" w:styleId="BB7C7716ACDF4C3EA53E2BD9B3196260">
    <w:name w:val="BB7C7716ACDF4C3EA53E2BD9B3196260"/>
    <w:rsid w:val="00053CB3"/>
  </w:style>
  <w:style w:type="paragraph" w:customStyle="1" w:styleId="FC688844433843A5876338BB5F9D0577">
    <w:name w:val="FC688844433843A5876338BB5F9D0577"/>
    <w:rsid w:val="00053CB3"/>
  </w:style>
  <w:style w:type="paragraph" w:customStyle="1" w:styleId="1F8B03BF49454847BE8C832DA3536C2A">
    <w:name w:val="1F8B03BF49454847BE8C832DA3536C2A"/>
    <w:rsid w:val="00053CB3"/>
  </w:style>
  <w:style w:type="paragraph" w:customStyle="1" w:styleId="133884715E0D466895E0D5A25CF9E59F">
    <w:name w:val="133884715E0D466895E0D5A25CF9E59F"/>
    <w:rsid w:val="00053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3B04-55F7-46EA-9A30-98CB0C2D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31</Pages>
  <Words>7599</Words>
  <Characters>41800</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Niño</dc:creator>
  <cp:keywords/>
  <dc:description/>
  <cp:lastModifiedBy>Marco Niño</cp:lastModifiedBy>
  <cp:revision>14</cp:revision>
  <cp:lastPrinted>2021-11-11T22:36:00Z</cp:lastPrinted>
  <dcterms:created xsi:type="dcterms:W3CDTF">2021-11-10T00:18:00Z</dcterms:created>
  <dcterms:modified xsi:type="dcterms:W3CDTF">2021-11-11T23:23:00Z</dcterms:modified>
</cp:coreProperties>
</file>