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Ex1.xml" ContentType="application/vnd.ms-office.chartex+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0D26" w14:textId="01F2C9E4" w:rsidR="00533447" w:rsidRDefault="00533447" w:rsidP="00137BC4">
      <w:pPr>
        <w:jc w:val="center"/>
        <w:rPr>
          <w:rFonts w:ascii="Arial" w:hAnsi="Arial" w:cs="Arial"/>
          <w:b/>
          <w:bCs/>
        </w:rPr>
      </w:pPr>
      <w:r w:rsidRPr="00533447">
        <w:rPr>
          <w:rFonts w:ascii="Arial" w:hAnsi="Arial" w:cs="Arial"/>
          <w:b/>
          <w:bCs/>
        </w:rPr>
        <w:t>ANEXO 2. ANÁLISIS DE CONCENTRACIÓN DEL PM</w:t>
      </w:r>
      <w:r w:rsidRPr="00533447">
        <w:rPr>
          <w:rFonts w:ascii="Arial" w:hAnsi="Arial" w:cs="Arial"/>
          <w:b/>
          <w:bCs/>
          <w:vertAlign w:val="subscript"/>
        </w:rPr>
        <w:t xml:space="preserve">2.5 </w:t>
      </w:r>
      <w:r w:rsidRPr="00533447">
        <w:rPr>
          <w:rFonts w:ascii="Arial" w:hAnsi="Arial" w:cs="Arial"/>
          <w:b/>
          <w:bCs/>
        </w:rPr>
        <w:t xml:space="preserve">PARA EL VALLE DE ABURRA ENTRE LOS AÑOS 2017 </w:t>
      </w:r>
      <w:r w:rsidR="00137BC4">
        <w:rPr>
          <w:rFonts w:ascii="Arial" w:hAnsi="Arial" w:cs="Arial"/>
          <w:b/>
          <w:bCs/>
        </w:rPr>
        <w:t>–</w:t>
      </w:r>
      <w:r w:rsidRPr="00533447">
        <w:rPr>
          <w:rFonts w:ascii="Arial" w:hAnsi="Arial" w:cs="Arial"/>
          <w:b/>
          <w:bCs/>
        </w:rPr>
        <w:t xml:space="preserve"> 2019</w:t>
      </w:r>
    </w:p>
    <w:p w14:paraId="499579AC" w14:textId="66452C60" w:rsidR="00AC6EA3" w:rsidRDefault="00AC6EA3" w:rsidP="00137BC4">
      <w:pPr>
        <w:jc w:val="both"/>
      </w:pPr>
      <w:r>
        <w:t>S</w:t>
      </w:r>
      <w:r w:rsidR="00137BC4">
        <w:t xml:space="preserve">e </w:t>
      </w:r>
      <w:r>
        <w:t xml:space="preserve">analizo </w:t>
      </w:r>
      <w:r w:rsidR="00137BC4">
        <w:t>el comportamiento del contaminante PM</w:t>
      </w:r>
      <w:r w:rsidR="00137BC4">
        <w:rPr>
          <w:vertAlign w:val="subscript"/>
        </w:rPr>
        <w:t xml:space="preserve">2.5 </w:t>
      </w:r>
      <w:r w:rsidR="00137BC4">
        <w:t>para el valle de aburra entre los años 2017 y 2019,</w:t>
      </w:r>
      <w:r>
        <w:t xml:space="preserve"> el proyecto encargado de la medición de </w:t>
      </w:r>
      <w:r w:rsidR="002578A0">
        <w:t>las concentraciones</w:t>
      </w:r>
      <w:r>
        <w:t xml:space="preserve"> de material particulado PM</w:t>
      </w:r>
      <w:r>
        <w:rPr>
          <w:vertAlign w:val="subscript"/>
        </w:rPr>
        <w:t>2.</w:t>
      </w:r>
      <w:r w:rsidR="002578A0">
        <w:rPr>
          <w:vertAlign w:val="subscript"/>
        </w:rPr>
        <w:t xml:space="preserve">5 </w:t>
      </w:r>
      <w:r w:rsidR="002578A0">
        <w:t>es</w:t>
      </w:r>
      <w:r>
        <w:t xml:space="preserve"> el sistema de alerta temprana del valle de aburra SIATA, el cual recopila información diariamente en las diferentes estaciones móviles y fijas que se encuentran </w:t>
      </w:r>
      <w:r w:rsidR="002578A0">
        <w:t xml:space="preserve">distribuidas </w:t>
      </w:r>
      <w:r>
        <w:t>en el valle de aburra</w:t>
      </w:r>
      <w:r w:rsidR="002578A0">
        <w:t>.</w:t>
      </w:r>
      <w:r w:rsidR="004D70D6" w:rsidRPr="004D70D6">
        <w:t xml:space="preserve"> </w:t>
      </w:r>
      <w:r w:rsidR="004D70D6" w:rsidRPr="00AA73E1">
        <w:rPr>
          <w:vertAlign w:val="subscript"/>
        </w:rPr>
        <w:t>(</w:t>
      </w:r>
      <w:r w:rsidR="00AA73E1" w:rsidRPr="00AA73E1">
        <w:rPr>
          <w:vertAlign w:val="subscript"/>
        </w:rPr>
        <w:t>19</w:t>
      </w:r>
      <w:r w:rsidR="004D70D6" w:rsidRPr="00AA73E1">
        <w:rPr>
          <w:vertAlign w:val="subscript"/>
        </w:rPr>
        <w:t>)</w:t>
      </w:r>
    </w:p>
    <w:p w14:paraId="4D737EB3" w14:textId="67C5E407" w:rsidR="005B0CEB" w:rsidRDefault="002578A0" w:rsidP="005B0CEB">
      <w:pPr>
        <w:jc w:val="both"/>
      </w:pPr>
      <w:r>
        <w:t>En el caso de estudio se presenta los promedios de PM</w:t>
      </w:r>
      <w:r>
        <w:rPr>
          <w:vertAlign w:val="subscript"/>
        </w:rPr>
        <w:t>2.5</w:t>
      </w:r>
      <w:r>
        <w:t xml:space="preserve"> </w:t>
      </w:r>
      <w:r w:rsidR="00137BC4">
        <w:t>anual, mensual y diaria</w:t>
      </w:r>
      <w:r w:rsidR="00AA73E1">
        <w:t>mente</w:t>
      </w:r>
      <w:r>
        <w:t xml:space="preserve"> p</w:t>
      </w:r>
      <w:r w:rsidRPr="00471858">
        <w:t>ara el valle de aburra</w:t>
      </w:r>
      <w:r w:rsidR="00AA73E1">
        <w:t>, además</w:t>
      </w:r>
      <w:r>
        <w:t xml:space="preserve"> </w:t>
      </w:r>
      <w:r w:rsidR="00137BC4">
        <w:t xml:space="preserve">un análisis </w:t>
      </w:r>
      <w:r>
        <w:t xml:space="preserve">de promedios </w:t>
      </w:r>
      <w:r w:rsidR="00137BC4">
        <w:t>por municipio</w:t>
      </w:r>
      <w:r>
        <w:t>,</w:t>
      </w:r>
      <w:r w:rsidR="00137BC4">
        <w:t xml:space="preserve"> </w:t>
      </w:r>
      <w:r w:rsidR="00137BC4" w:rsidRPr="00471858">
        <w:t>entre los años 2017 y 2019</w:t>
      </w:r>
      <w:r>
        <w:t>.</w:t>
      </w:r>
    </w:p>
    <w:p w14:paraId="67131828" w14:textId="379AEC99" w:rsidR="005B0CEB" w:rsidRDefault="005B0CEB" w:rsidP="005B0CEB">
      <w:pPr>
        <w:jc w:val="center"/>
      </w:pPr>
      <w:r w:rsidRPr="00533447">
        <w:rPr>
          <w:rFonts w:cstheme="minorHAnsi"/>
          <w:b/>
          <w:bCs/>
        </w:rPr>
        <w:t>ANALISIS ANUAL DE CONCENTRACIÓN DE PM</w:t>
      </w:r>
      <w:r w:rsidRPr="00533447">
        <w:rPr>
          <w:rFonts w:cstheme="minorHAnsi"/>
          <w:b/>
          <w:bCs/>
          <w:vertAlign w:val="subscript"/>
        </w:rPr>
        <w:t>2.5</w:t>
      </w:r>
    </w:p>
    <w:p w14:paraId="180CB441" w14:textId="335DCC41" w:rsidR="002578A0" w:rsidRPr="00233516" w:rsidRDefault="00233516" w:rsidP="00137BC4">
      <w:pPr>
        <w:jc w:val="both"/>
      </w:pPr>
      <w:r>
        <w:t>Los estándares de concentración</w:t>
      </w:r>
      <w:r w:rsidR="00B678B2">
        <w:t xml:space="preserve"> anual</w:t>
      </w:r>
      <w:r>
        <w:t xml:space="preserve"> con los que se compararon los resultados del PM</w:t>
      </w:r>
      <w:r w:rsidRPr="00233516">
        <w:rPr>
          <w:vertAlign w:val="subscript"/>
        </w:rPr>
        <w:t>2.5</w:t>
      </w:r>
      <w:r w:rsidR="00AA73E1">
        <w:rPr>
          <w:vertAlign w:val="subscript"/>
        </w:rPr>
        <w:t xml:space="preserve"> </w:t>
      </w:r>
      <w:r w:rsidR="00AA73E1">
        <w:t>para el valle de aburra entre el año 2017 y el año 2019</w:t>
      </w:r>
      <w:r w:rsidRPr="00233516">
        <w:rPr>
          <w:vertAlign w:val="subscript"/>
        </w:rPr>
        <w:t xml:space="preserve"> </w:t>
      </w:r>
      <w:r>
        <w:t xml:space="preserve">fueron, el estándar de la </w:t>
      </w:r>
      <w:r w:rsidR="00B678B2">
        <w:t>organización mundial de la salud OMS</w:t>
      </w:r>
      <w:r w:rsidR="004D70D6">
        <w:t xml:space="preserve"> </w:t>
      </w:r>
      <w:r w:rsidR="00AA73E1">
        <w:t xml:space="preserve">donde se </w:t>
      </w:r>
      <w:r>
        <w:t xml:space="preserve">indica que el nivel máximo de concentración es de 10 </w:t>
      </w:r>
      <w:r>
        <w:rPr>
          <w:rFonts w:cstheme="minorHAnsi"/>
        </w:rPr>
        <w:t>µ</w:t>
      </w:r>
      <w:r>
        <w:t>m/m</w:t>
      </w:r>
      <w:r w:rsidRPr="00C01834">
        <w:rPr>
          <w:vertAlign w:val="superscript"/>
        </w:rPr>
        <w:t>3</w:t>
      </w:r>
      <w:r w:rsidR="00745833">
        <w:rPr>
          <w:vertAlign w:val="superscript"/>
        </w:rPr>
        <w:t xml:space="preserve"> </w:t>
      </w:r>
      <w:r w:rsidR="004D70D6" w:rsidRPr="00745833">
        <w:rPr>
          <w:vertAlign w:val="subscript"/>
        </w:rPr>
        <w:t>(</w:t>
      </w:r>
      <w:r w:rsidR="00AA73E1" w:rsidRPr="00745833">
        <w:rPr>
          <w:vertAlign w:val="subscript"/>
        </w:rPr>
        <w:t>21</w:t>
      </w:r>
      <w:r w:rsidR="004D70D6" w:rsidRPr="00745833">
        <w:rPr>
          <w:vertAlign w:val="subscript"/>
        </w:rPr>
        <w:t>)</w:t>
      </w:r>
      <w:r w:rsidR="004D70D6">
        <w:t>,</w:t>
      </w:r>
      <w:r>
        <w:t xml:space="preserve"> mientras que el nivel aceptado por la legislación</w:t>
      </w:r>
      <w:r w:rsidRPr="00C01834">
        <w:t xml:space="preserve"> </w:t>
      </w:r>
      <w:r>
        <w:t xml:space="preserve">colombiana en la </w:t>
      </w:r>
      <w:r w:rsidR="004D70D6">
        <w:t>R</w:t>
      </w:r>
      <w:r>
        <w:t>esolución 2254 de 2017 p</w:t>
      </w:r>
      <w:r w:rsidR="004D70D6">
        <w:t xml:space="preserve">or año </w:t>
      </w:r>
      <w:r>
        <w:t>es de 25</w:t>
      </w:r>
      <w:r w:rsidRPr="00C01834">
        <w:rPr>
          <w:rFonts w:cstheme="minorHAnsi"/>
        </w:rPr>
        <w:t xml:space="preserve"> </w:t>
      </w:r>
      <w:r>
        <w:rPr>
          <w:rFonts w:cstheme="minorHAnsi"/>
        </w:rPr>
        <w:t>µ</w:t>
      </w:r>
      <w:r>
        <w:t>m/m</w:t>
      </w:r>
      <w:r w:rsidRPr="00C01834">
        <w:rPr>
          <w:vertAlign w:val="superscript"/>
        </w:rPr>
        <w:t>3</w:t>
      </w:r>
      <w:r>
        <w:t xml:space="preserve">; aunque para el 2030 el nivel promedio de concentración aceptado será de 15 </w:t>
      </w:r>
      <w:r>
        <w:rPr>
          <w:rFonts w:cstheme="minorHAnsi"/>
        </w:rPr>
        <w:t>µ</w:t>
      </w:r>
      <w:r>
        <w:t>m/m</w:t>
      </w:r>
      <w:r w:rsidRPr="00C01834">
        <w:rPr>
          <w:vertAlign w:val="superscript"/>
        </w:rPr>
        <w:t>3</w:t>
      </w:r>
      <w:r>
        <w:t>.</w:t>
      </w:r>
      <w:r w:rsidR="004D70D6" w:rsidRPr="00745833">
        <w:rPr>
          <w:vertAlign w:val="subscript"/>
        </w:rPr>
        <w:t>(</w:t>
      </w:r>
      <w:r w:rsidR="00AA73E1" w:rsidRPr="00745833">
        <w:rPr>
          <w:vertAlign w:val="subscript"/>
        </w:rPr>
        <w:t>22</w:t>
      </w:r>
      <w:r w:rsidR="004D70D6" w:rsidRPr="00745833">
        <w:rPr>
          <w:vertAlign w:val="subscript"/>
        </w:rPr>
        <w:t>)</w:t>
      </w:r>
    </w:p>
    <w:p w14:paraId="4BBEA698" w14:textId="4F90A0D3" w:rsidR="00B678B2" w:rsidRDefault="00AB5A09" w:rsidP="00B678B2">
      <w:pPr>
        <w:jc w:val="both"/>
      </w:pPr>
      <w:r>
        <w:t xml:space="preserve">Para </w:t>
      </w:r>
      <w:r w:rsidR="00B678B2">
        <w:t xml:space="preserve">los niveles de concentración anual </w:t>
      </w:r>
      <w:r w:rsidR="002578A0" w:rsidRPr="00471858">
        <w:t>de PM</w:t>
      </w:r>
      <w:r w:rsidR="002578A0" w:rsidRPr="00471858">
        <w:rPr>
          <w:vertAlign w:val="subscript"/>
        </w:rPr>
        <w:t>2.</w:t>
      </w:r>
      <w:r>
        <w:rPr>
          <w:vertAlign w:val="subscript"/>
        </w:rPr>
        <w:t xml:space="preserve">5 , </w:t>
      </w:r>
      <w:r w:rsidRPr="00AB5A09">
        <w:t>estos</w:t>
      </w:r>
      <w:r>
        <w:t xml:space="preserve"> </w:t>
      </w:r>
      <w:r w:rsidR="002578A0">
        <w:t xml:space="preserve">fueron superiores a </w:t>
      </w:r>
      <w:r w:rsidR="00B678B2">
        <w:t xml:space="preserve">norma </w:t>
      </w:r>
      <w:r w:rsidR="002578A0">
        <w:t xml:space="preserve">de la OMS </w:t>
      </w:r>
      <w:r>
        <w:t>e inferiores a la</w:t>
      </w:r>
      <w:r w:rsidR="00B678B2">
        <w:t xml:space="preserve"> Resolución 2254 de 2017, dichos valores fluctuaron entre 23,2</w:t>
      </w:r>
      <w:r w:rsidR="00B678B2" w:rsidRPr="002578A0">
        <w:rPr>
          <w:rFonts w:cstheme="minorHAnsi"/>
        </w:rPr>
        <w:t xml:space="preserve"> </w:t>
      </w:r>
      <w:r w:rsidR="00B678B2">
        <w:rPr>
          <w:rFonts w:cstheme="minorHAnsi"/>
        </w:rPr>
        <w:t>µ</w:t>
      </w:r>
      <w:r w:rsidR="00B678B2">
        <w:t>m/m</w:t>
      </w:r>
      <w:r w:rsidR="00B678B2" w:rsidRPr="00C01834">
        <w:rPr>
          <w:vertAlign w:val="superscript"/>
        </w:rPr>
        <w:t>3</w:t>
      </w:r>
      <w:r w:rsidR="00B678B2">
        <w:rPr>
          <w:vertAlign w:val="superscript"/>
        </w:rPr>
        <w:t xml:space="preserve"> </w:t>
      </w:r>
      <w:r w:rsidR="00B678B2">
        <w:t xml:space="preserve">para 2017 y 18.6 </w:t>
      </w:r>
      <w:r w:rsidR="00B678B2">
        <w:rPr>
          <w:rFonts w:cstheme="minorHAnsi"/>
        </w:rPr>
        <w:t>µ</w:t>
      </w:r>
      <w:r w:rsidR="00B678B2">
        <w:t>m/m</w:t>
      </w:r>
      <w:r w:rsidR="00B678B2" w:rsidRPr="00C01834">
        <w:rPr>
          <w:vertAlign w:val="superscript"/>
        </w:rPr>
        <w:t>3</w:t>
      </w:r>
      <w:r w:rsidR="00B678B2">
        <w:t xml:space="preserve"> para 2019,mostrando una tendencia a disminuir en el tiempo. Ver Gráfico N.º 1</w:t>
      </w:r>
    </w:p>
    <w:p w14:paraId="7EC9475D" w14:textId="3E7DFAB1" w:rsidR="00F25966" w:rsidRDefault="005311FA" w:rsidP="005B0CEB">
      <w:pPr>
        <w:spacing w:after="0"/>
        <w:jc w:val="center"/>
        <w:rPr>
          <w:b/>
          <w:bCs/>
        </w:rPr>
      </w:pPr>
      <w:r>
        <w:rPr>
          <w:noProof/>
        </w:rPr>
        <w:drawing>
          <wp:inline distT="0" distB="0" distL="0" distR="0" wp14:anchorId="0E63CD8A" wp14:editId="5382B3B8">
            <wp:extent cx="7724775" cy="2415654"/>
            <wp:effectExtent l="0" t="0" r="9525" b="3810"/>
            <wp:docPr id="8" name="Gráfico 8">
              <a:extLst xmlns:a="http://schemas.openxmlformats.org/drawingml/2006/main">
                <a:ext uri="{FF2B5EF4-FFF2-40B4-BE49-F238E27FC236}">
                  <a16:creationId xmlns:a16="http://schemas.microsoft.com/office/drawing/2014/main" id="{DEC58644-058A-49DE-B5D0-677EE5CE84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7D1DACCF" w14:textId="1B5E7181" w:rsidR="00F25966" w:rsidRPr="005B0CEB" w:rsidRDefault="00B678B2" w:rsidP="005B0CEB">
      <w:pPr>
        <w:spacing w:after="0"/>
        <w:jc w:val="both"/>
        <w:rPr>
          <w:b/>
          <w:bCs/>
        </w:rPr>
      </w:pPr>
      <w:r w:rsidRPr="005B0CEB">
        <w:rPr>
          <w:b/>
          <w:bCs/>
          <w:sz w:val="20"/>
          <w:szCs w:val="20"/>
        </w:rPr>
        <w:t>Gráfico N.º 1</w:t>
      </w:r>
      <w:r w:rsidR="00F25966" w:rsidRPr="005B0CEB">
        <w:rPr>
          <w:b/>
          <w:bCs/>
          <w:sz w:val="20"/>
          <w:szCs w:val="20"/>
        </w:rPr>
        <w:t>. Promedios Anuales de concentración del contaminante PM</w:t>
      </w:r>
      <w:r w:rsidR="00F25966" w:rsidRPr="005B0CEB">
        <w:rPr>
          <w:b/>
          <w:bCs/>
          <w:sz w:val="20"/>
          <w:szCs w:val="20"/>
          <w:vertAlign w:val="subscript"/>
        </w:rPr>
        <w:t xml:space="preserve">2.5 </w:t>
      </w:r>
      <w:r w:rsidR="00F25966" w:rsidRPr="005B0CEB">
        <w:rPr>
          <w:b/>
          <w:bCs/>
          <w:sz w:val="20"/>
          <w:szCs w:val="20"/>
        </w:rPr>
        <w:t>valle de aburra entre los años 2017 y 2019</w:t>
      </w:r>
      <w:r w:rsidR="00F25966" w:rsidRPr="005B0CEB">
        <w:rPr>
          <w:b/>
          <w:bCs/>
        </w:rPr>
        <w:t>.</w:t>
      </w:r>
    </w:p>
    <w:p w14:paraId="5436C632" w14:textId="304ED27B" w:rsidR="005B0CEB" w:rsidRDefault="005B0CEB" w:rsidP="005B0CEB">
      <w:pPr>
        <w:jc w:val="center"/>
      </w:pPr>
      <w:r w:rsidRPr="00882795">
        <w:rPr>
          <w:b/>
          <w:bCs/>
        </w:rPr>
        <w:lastRenderedPageBreak/>
        <w:t>ANALISIS MENSUAL</w:t>
      </w:r>
      <w:r w:rsidRPr="00185901">
        <w:rPr>
          <w:b/>
          <w:bCs/>
        </w:rPr>
        <w:t xml:space="preserve"> </w:t>
      </w:r>
      <w:r>
        <w:rPr>
          <w:b/>
          <w:bCs/>
        </w:rPr>
        <w:t xml:space="preserve">DE </w:t>
      </w:r>
      <w:r w:rsidRPr="00533447">
        <w:rPr>
          <w:rFonts w:cstheme="minorHAnsi"/>
          <w:b/>
          <w:bCs/>
        </w:rPr>
        <w:t>CONCENTRACIÓN</w:t>
      </w:r>
      <w:r>
        <w:rPr>
          <w:b/>
          <w:bCs/>
        </w:rPr>
        <w:t xml:space="preserve"> DE PM</w:t>
      </w:r>
      <w:r>
        <w:rPr>
          <w:b/>
          <w:bCs/>
          <w:vertAlign w:val="subscript"/>
        </w:rPr>
        <w:t>2.5</w:t>
      </w:r>
    </w:p>
    <w:p w14:paraId="3EC52227" w14:textId="225FE73D" w:rsidR="00B678B2" w:rsidRDefault="00AB5A09" w:rsidP="00B678B2">
      <w:pPr>
        <w:jc w:val="both"/>
      </w:pPr>
      <w:r>
        <w:t xml:space="preserve">Para los niveles de concentración mensual </w:t>
      </w:r>
      <w:r w:rsidRPr="00471858">
        <w:t>de PM</w:t>
      </w:r>
      <w:r w:rsidRPr="00471858">
        <w:rPr>
          <w:vertAlign w:val="subscript"/>
        </w:rPr>
        <w:t>2.</w:t>
      </w:r>
      <w:r>
        <w:rPr>
          <w:vertAlign w:val="subscript"/>
        </w:rPr>
        <w:t>5 ,</w:t>
      </w:r>
      <w:r w:rsidR="00B678B2">
        <w:t xml:space="preserve"> en los 10 municipios del valle de aburra</w:t>
      </w:r>
      <w:r>
        <w:t xml:space="preserve"> en el periodo de estudio</w:t>
      </w:r>
      <w:r w:rsidR="00B678B2">
        <w:t xml:space="preserve">, </w:t>
      </w:r>
      <w:r>
        <w:t>fue</w:t>
      </w:r>
      <w:r w:rsidR="00B678B2">
        <w:t xml:space="preserve"> evidente una reducción en la concentración del contaminante a través de los </w:t>
      </w:r>
      <w:r>
        <w:t xml:space="preserve">meses </w:t>
      </w:r>
      <w:r w:rsidR="00B678B2">
        <w:t>de estudio</w:t>
      </w:r>
      <w:r>
        <w:t>,</w:t>
      </w:r>
      <w:r w:rsidR="00B678B2">
        <w:t xml:space="preserve"> sin embargo; se observó en todos los años un incremento importante en la concentración del contaminante que comienza en los meses de enero y termina en los meses de marzo</w:t>
      </w:r>
      <w:r>
        <w:t>,</w:t>
      </w:r>
      <w:r w:rsidR="00B678B2">
        <w:t xml:space="preserve"> </w:t>
      </w:r>
      <w:r>
        <w:t>a partir de este periodo se observó un descenso luego se observa un comportamiento que oscilante entre el aumento y la disminución.</w:t>
      </w:r>
    </w:p>
    <w:p w14:paraId="2BBC1719" w14:textId="27514563" w:rsidR="00B678B2" w:rsidRDefault="00B678B2" w:rsidP="00B678B2">
      <w:pPr>
        <w:jc w:val="both"/>
      </w:pPr>
      <w:r>
        <w:t>Los picos de concentración del contaminante PM</w:t>
      </w:r>
      <w:r w:rsidRPr="00711693">
        <w:rPr>
          <w:vertAlign w:val="subscript"/>
        </w:rPr>
        <w:t xml:space="preserve">2,5 </w:t>
      </w:r>
      <w:r>
        <w:t xml:space="preserve">se presentaron en los meses de febrero y marzo donde el promedio de las mediciones llego a estar entre los 29 </w:t>
      </w:r>
      <w:r>
        <w:rPr>
          <w:rFonts w:cstheme="minorHAnsi"/>
        </w:rPr>
        <w:t>µ</w:t>
      </w:r>
      <w:r>
        <w:t>m/m</w:t>
      </w:r>
      <w:r w:rsidRPr="00711693">
        <w:rPr>
          <w:vertAlign w:val="superscript"/>
        </w:rPr>
        <w:t>3</w:t>
      </w:r>
      <w:r>
        <w:t xml:space="preserve"> y los 30,8</w:t>
      </w:r>
      <w:r w:rsidRPr="00056F6A">
        <w:rPr>
          <w:rFonts w:cstheme="minorHAnsi"/>
        </w:rPr>
        <w:t xml:space="preserve"> </w:t>
      </w:r>
      <w:r>
        <w:rPr>
          <w:rFonts w:cstheme="minorHAnsi"/>
        </w:rPr>
        <w:t>µ</w:t>
      </w:r>
      <w:r>
        <w:t>m/m</w:t>
      </w:r>
      <w:r w:rsidRPr="00711693">
        <w:rPr>
          <w:vertAlign w:val="superscript"/>
        </w:rPr>
        <w:t>3</w:t>
      </w:r>
      <w:r>
        <w:t xml:space="preserve">, otro </w:t>
      </w:r>
      <w:r w:rsidR="00AB5A09">
        <w:t xml:space="preserve">pico </w:t>
      </w:r>
      <w:r>
        <w:t>importante se presentó en los meses de agosto y septiembre donde para 2019 se pasó de una concentración promedio de 13,2</w:t>
      </w:r>
      <w:r w:rsidRPr="00056F6A">
        <w:rPr>
          <w:rFonts w:cstheme="minorHAnsi"/>
        </w:rPr>
        <w:t xml:space="preserve"> </w:t>
      </w:r>
      <w:r>
        <w:rPr>
          <w:rFonts w:cstheme="minorHAnsi"/>
        </w:rPr>
        <w:t>µ</w:t>
      </w:r>
      <w:r>
        <w:t>m/m</w:t>
      </w:r>
      <w:r w:rsidRPr="00711693">
        <w:rPr>
          <w:vertAlign w:val="superscript"/>
        </w:rPr>
        <w:t>3</w:t>
      </w:r>
      <w:r>
        <w:t xml:space="preserve"> en julio a 20,1 </w:t>
      </w:r>
      <w:r>
        <w:rPr>
          <w:rFonts w:cstheme="minorHAnsi"/>
        </w:rPr>
        <w:t>µ</w:t>
      </w:r>
      <w:r>
        <w:t>m/m</w:t>
      </w:r>
      <w:r w:rsidRPr="00711693">
        <w:rPr>
          <w:vertAlign w:val="superscript"/>
        </w:rPr>
        <w:t>3</w:t>
      </w:r>
      <w:r>
        <w:t xml:space="preserve"> en agosto.</w:t>
      </w:r>
      <w:r w:rsidR="00D90150">
        <w:t xml:space="preserve"> Ver Gráfico N.º2.</w:t>
      </w:r>
    </w:p>
    <w:p w14:paraId="1E962472" w14:textId="77777777" w:rsidR="00F25966" w:rsidRDefault="00F25966" w:rsidP="005B0CEB">
      <w:pPr>
        <w:spacing w:after="0"/>
      </w:pPr>
      <w:r>
        <w:rPr>
          <w:noProof/>
        </w:rPr>
        <w:drawing>
          <wp:inline distT="0" distB="0" distL="0" distR="0" wp14:anchorId="24A8B524" wp14:editId="177FEE7F">
            <wp:extent cx="8286750" cy="3514725"/>
            <wp:effectExtent l="0" t="0" r="0" b="9525"/>
            <wp:docPr id="2" name="Gráfico 2">
              <a:extLst xmlns:a="http://schemas.openxmlformats.org/drawingml/2006/main">
                <a:ext uri="{FF2B5EF4-FFF2-40B4-BE49-F238E27FC236}">
                  <a16:creationId xmlns:a16="http://schemas.microsoft.com/office/drawing/2014/main" id="{6355123B-B27D-43AB-984B-AA939092F2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31AFD6B" w14:textId="7EEDD116" w:rsidR="005B0CEB" w:rsidRDefault="00D90150" w:rsidP="005B0CEB">
      <w:pPr>
        <w:spacing w:after="0"/>
        <w:rPr>
          <w:b/>
          <w:bCs/>
        </w:rPr>
      </w:pPr>
      <w:r w:rsidRPr="005B0CEB">
        <w:rPr>
          <w:b/>
          <w:bCs/>
          <w:sz w:val="20"/>
          <w:szCs w:val="20"/>
        </w:rPr>
        <w:t>Gráfico N.º2</w:t>
      </w:r>
      <w:r w:rsidR="00F25966" w:rsidRPr="005B0CEB">
        <w:rPr>
          <w:b/>
          <w:bCs/>
          <w:sz w:val="20"/>
          <w:szCs w:val="20"/>
        </w:rPr>
        <w:t>. Promedios mensuales de concentración del contaminante PM</w:t>
      </w:r>
      <w:r w:rsidR="00F25966" w:rsidRPr="005B0CEB">
        <w:rPr>
          <w:b/>
          <w:bCs/>
          <w:sz w:val="20"/>
          <w:szCs w:val="20"/>
          <w:vertAlign w:val="subscript"/>
        </w:rPr>
        <w:t xml:space="preserve">2.5 </w:t>
      </w:r>
      <w:r w:rsidR="00F25966" w:rsidRPr="005B0CEB">
        <w:rPr>
          <w:b/>
          <w:bCs/>
          <w:sz w:val="20"/>
          <w:szCs w:val="20"/>
        </w:rPr>
        <w:t>valle de aburra entre los años 2017 y 2019</w:t>
      </w:r>
      <w:r w:rsidR="00F25966" w:rsidRPr="005B0CEB">
        <w:rPr>
          <w:b/>
          <w:bCs/>
        </w:rPr>
        <w:t>.</w:t>
      </w:r>
    </w:p>
    <w:p w14:paraId="12C50876" w14:textId="1A0E568C" w:rsidR="00882795" w:rsidRPr="005B0CEB" w:rsidRDefault="00882795" w:rsidP="005B0CEB">
      <w:pPr>
        <w:spacing w:after="0"/>
        <w:jc w:val="center"/>
        <w:rPr>
          <w:b/>
          <w:bCs/>
        </w:rPr>
      </w:pPr>
      <w:r w:rsidRPr="00882795">
        <w:rPr>
          <w:b/>
          <w:bCs/>
        </w:rPr>
        <w:lastRenderedPageBreak/>
        <w:t>ANALISIS DIARIO</w:t>
      </w:r>
      <w:r w:rsidR="007500C2">
        <w:rPr>
          <w:b/>
          <w:bCs/>
        </w:rPr>
        <w:t xml:space="preserve"> DE </w:t>
      </w:r>
      <w:r w:rsidR="00533447" w:rsidRPr="00533447">
        <w:rPr>
          <w:rFonts w:cstheme="minorHAnsi"/>
          <w:b/>
          <w:bCs/>
        </w:rPr>
        <w:t>CONCENTRACIÓN</w:t>
      </w:r>
      <w:r w:rsidR="007500C2">
        <w:rPr>
          <w:b/>
          <w:bCs/>
        </w:rPr>
        <w:t xml:space="preserve"> DE PM</w:t>
      </w:r>
      <w:r w:rsidR="007500C2">
        <w:rPr>
          <w:b/>
          <w:bCs/>
          <w:vertAlign w:val="subscript"/>
        </w:rPr>
        <w:t>2.5</w:t>
      </w:r>
    </w:p>
    <w:p w14:paraId="061C2CB1" w14:textId="77777777" w:rsidR="00344B37" w:rsidRDefault="00344B37" w:rsidP="00344B37">
      <w:pPr>
        <w:jc w:val="both"/>
      </w:pPr>
      <w:r>
        <w:t>Los niveles de concentración de PM</w:t>
      </w:r>
      <w:r w:rsidRPr="00C01834">
        <w:rPr>
          <w:vertAlign w:val="subscript"/>
        </w:rPr>
        <w:t>2.5</w:t>
      </w:r>
      <w:r>
        <w:t xml:space="preserve"> en el aire aceptados por la OMS en un intervalo de tiempo de 24 horas es de 25 </w:t>
      </w:r>
      <w:r>
        <w:rPr>
          <w:rFonts w:cstheme="minorHAnsi"/>
        </w:rPr>
        <w:t>µ</w:t>
      </w:r>
      <w:r>
        <w:t>m/m</w:t>
      </w:r>
      <w:r w:rsidRPr="00C01834">
        <w:rPr>
          <w:vertAlign w:val="superscript"/>
        </w:rPr>
        <w:t>3</w:t>
      </w:r>
      <w:r>
        <w:rPr>
          <w:vertAlign w:val="superscript"/>
        </w:rPr>
        <w:t>,</w:t>
      </w:r>
      <w:r>
        <w:t xml:space="preserve"> mientras que el nivel aceptado por la legislación</w:t>
      </w:r>
      <w:r w:rsidRPr="00C01834">
        <w:t xml:space="preserve"> </w:t>
      </w:r>
      <w:r>
        <w:t>colombiana en la resolución 2254 de 2017 para este mismo intervalo de tiempo es de 50</w:t>
      </w:r>
      <w:r w:rsidRPr="00C01834">
        <w:rPr>
          <w:rFonts w:cstheme="minorHAnsi"/>
        </w:rPr>
        <w:t xml:space="preserve"> </w:t>
      </w:r>
      <w:r>
        <w:rPr>
          <w:rFonts w:cstheme="minorHAnsi"/>
        </w:rPr>
        <w:t>µ</w:t>
      </w:r>
      <w:r>
        <w:t>m/m</w:t>
      </w:r>
      <w:r w:rsidRPr="00C01834">
        <w:rPr>
          <w:vertAlign w:val="superscript"/>
        </w:rPr>
        <w:t>3</w:t>
      </w:r>
      <w:r>
        <w:t>.</w:t>
      </w:r>
    </w:p>
    <w:p w14:paraId="01EB4584" w14:textId="77777777" w:rsidR="00344B37" w:rsidRDefault="00344B37" w:rsidP="00344B37">
      <w:pPr>
        <w:jc w:val="both"/>
      </w:pPr>
      <w:r>
        <w:t>El grafico muestra los días en que el promedio de concentración del contaminante PM</w:t>
      </w:r>
      <w:r>
        <w:rPr>
          <w:vertAlign w:val="subscript"/>
        </w:rPr>
        <w:t xml:space="preserve">2.5 </w:t>
      </w:r>
      <w:r>
        <w:t>se encontró por encima de los niveles aceptados por la OMS, se mostró concordancia con los ya conocidos picos de contaminación que se presentaron en los meses de febrero y marzo; llama la atención que en el año 2018 en febrero y marzo se superó el límite en 24 días, en el año 2017 fue marzo con 24 días el mes que más sobrepaso los límites de concentración, mientras que en el año 2019 fue el mes de febrero con 22 días el mes que más se sobrepasó el límite permisible.</w:t>
      </w:r>
    </w:p>
    <w:p w14:paraId="39D689CF" w14:textId="77777777" w:rsidR="00344B37" w:rsidRPr="00344B37" w:rsidRDefault="00344B37" w:rsidP="00344B37">
      <w:pPr>
        <w:jc w:val="both"/>
      </w:pPr>
      <w:r>
        <w:t>También se observa en el año 2017, que en el mes septiembre se presentaron 7 días por encima del límite, dato que tiende a disminuir hasta llegar al mes de diciembre, donde solo un día se presentó que el promedio de concentración del contaminante PM</w:t>
      </w:r>
      <w:r>
        <w:rPr>
          <w:vertAlign w:val="subscript"/>
        </w:rPr>
        <w:t xml:space="preserve">2.5 </w:t>
      </w:r>
      <w:r>
        <w:t>estaba por encima del nivel aceptado por la OMS; en 2019 es llamativo el aumento que se presentó el mes de agosto, donde en 5 días se superó el nivel de concentración del contaminante PM</w:t>
      </w:r>
      <w:r>
        <w:rPr>
          <w:vertAlign w:val="subscript"/>
        </w:rPr>
        <w:t xml:space="preserve">2.5 </w:t>
      </w:r>
      <w:r>
        <w:t>permitido por la OMS.</w:t>
      </w:r>
    </w:p>
    <w:p w14:paraId="610E3EC4" w14:textId="77777777" w:rsidR="005B0CEB" w:rsidRDefault="00344B37" w:rsidP="005B0CEB">
      <w:pPr>
        <w:jc w:val="both"/>
      </w:pPr>
      <w:r>
        <w:t>En total de los 1077 días que hacen parte del estudio en 212 de estos se sobrepasó el límite de la OMS, es decir el 19.4% de los días de estudio la concentración de PM</w:t>
      </w:r>
      <w:r>
        <w:rPr>
          <w:vertAlign w:val="subscript"/>
        </w:rPr>
        <w:t xml:space="preserve">2.5 </w:t>
      </w:r>
      <w:r>
        <w:t xml:space="preserve">estuvo por encima de la concentración de 25 </w:t>
      </w:r>
      <w:r>
        <w:rPr>
          <w:rFonts w:cstheme="minorHAnsi"/>
        </w:rPr>
        <w:t>µ</w:t>
      </w:r>
      <w:r>
        <w:t>m/m</w:t>
      </w:r>
      <w:r w:rsidRPr="00C01834">
        <w:rPr>
          <w:vertAlign w:val="superscript"/>
        </w:rPr>
        <w:t>3</w:t>
      </w:r>
      <w:r>
        <w:t>.</w:t>
      </w:r>
      <w:r w:rsidRPr="00344B37">
        <w:t xml:space="preserve"> </w:t>
      </w:r>
      <w:r>
        <w:t>Ver Gráfico N.º3.</w:t>
      </w:r>
    </w:p>
    <w:p w14:paraId="35AF0792" w14:textId="414A78EF" w:rsidR="00482A3A" w:rsidRPr="005B0CEB" w:rsidRDefault="00882795" w:rsidP="005B0CEB">
      <w:pPr>
        <w:jc w:val="both"/>
        <w:rPr>
          <w:b/>
          <w:bCs/>
        </w:rPr>
      </w:pPr>
      <w:r>
        <w:rPr>
          <w:noProof/>
        </w:rPr>
        <w:drawing>
          <wp:inline distT="0" distB="0" distL="0" distR="0" wp14:anchorId="135D64BC" wp14:editId="6A73F6F5">
            <wp:extent cx="8244840" cy="2617076"/>
            <wp:effectExtent l="0" t="0" r="3810" b="12065"/>
            <wp:docPr id="3" name="Gráfico 3">
              <a:extLst xmlns:a="http://schemas.openxmlformats.org/drawingml/2006/main">
                <a:ext uri="{FF2B5EF4-FFF2-40B4-BE49-F238E27FC236}">
                  <a16:creationId xmlns:a16="http://schemas.microsoft.com/office/drawing/2014/main" id="{E3178071-7B4D-4810-ACE4-0E0711EF0F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344B37" w:rsidRPr="005B0CEB">
        <w:rPr>
          <w:b/>
          <w:bCs/>
        </w:rPr>
        <w:t>Gráfico N.º3</w:t>
      </w:r>
      <w:r w:rsidR="00482A3A" w:rsidRPr="005B0CEB">
        <w:rPr>
          <w:b/>
          <w:bCs/>
          <w:sz w:val="20"/>
          <w:szCs w:val="20"/>
        </w:rPr>
        <w:t xml:space="preserve">. </w:t>
      </w:r>
      <w:r w:rsidR="007E5B61" w:rsidRPr="005B0CEB">
        <w:rPr>
          <w:b/>
          <w:bCs/>
          <w:sz w:val="20"/>
          <w:szCs w:val="20"/>
        </w:rPr>
        <w:t xml:space="preserve">Días por encima de 25 </w:t>
      </w:r>
      <w:r w:rsidR="007E5B61" w:rsidRPr="005B0CEB">
        <w:rPr>
          <w:rFonts w:cstheme="minorHAnsi"/>
          <w:b/>
          <w:bCs/>
          <w:sz w:val="20"/>
          <w:szCs w:val="20"/>
        </w:rPr>
        <w:t>µ</w:t>
      </w:r>
      <w:r w:rsidR="007E5B61" w:rsidRPr="005B0CEB">
        <w:rPr>
          <w:b/>
          <w:bCs/>
          <w:sz w:val="20"/>
          <w:szCs w:val="20"/>
        </w:rPr>
        <w:t>m/m</w:t>
      </w:r>
      <w:r w:rsidR="007E5B61" w:rsidRPr="005B0CEB">
        <w:rPr>
          <w:b/>
          <w:bCs/>
          <w:sz w:val="20"/>
          <w:szCs w:val="20"/>
          <w:vertAlign w:val="superscript"/>
        </w:rPr>
        <w:t xml:space="preserve">3 </w:t>
      </w:r>
      <w:r w:rsidR="007E5B61" w:rsidRPr="005B0CEB">
        <w:rPr>
          <w:b/>
          <w:bCs/>
          <w:sz w:val="20"/>
          <w:szCs w:val="20"/>
        </w:rPr>
        <w:t>de concentración del</w:t>
      </w:r>
      <w:r w:rsidR="00482A3A" w:rsidRPr="005B0CEB">
        <w:rPr>
          <w:b/>
          <w:bCs/>
          <w:sz w:val="20"/>
          <w:szCs w:val="20"/>
        </w:rPr>
        <w:t xml:space="preserve"> contaminante PM </w:t>
      </w:r>
      <w:r w:rsidR="00482A3A" w:rsidRPr="005B0CEB">
        <w:rPr>
          <w:b/>
          <w:bCs/>
          <w:sz w:val="20"/>
          <w:szCs w:val="20"/>
          <w:vertAlign w:val="subscript"/>
        </w:rPr>
        <w:t>2.5</w:t>
      </w:r>
      <w:r w:rsidR="007E5B61" w:rsidRPr="005B0CEB">
        <w:rPr>
          <w:b/>
          <w:bCs/>
          <w:sz w:val="20"/>
          <w:szCs w:val="20"/>
        </w:rPr>
        <w:t xml:space="preserve"> en </w:t>
      </w:r>
      <w:r w:rsidR="00711693" w:rsidRPr="005B0CEB">
        <w:rPr>
          <w:b/>
          <w:bCs/>
          <w:sz w:val="20"/>
          <w:szCs w:val="20"/>
        </w:rPr>
        <w:t>el valle</w:t>
      </w:r>
      <w:r w:rsidR="00482A3A" w:rsidRPr="005B0CEB">
        <w:rPr>
          <w:b/>
          <w:bCs/>
          <w:sz w:val="20"/>
          <w:szCs w:val="20"/>
        </w:rPr>
        <w:t xml:space="preserve"> de aburra</w:t>
      </w:r>
      <w:r w:rsidR="007E5B61" w:rsidRPr="005B0CEB">
        <w:rPr>
          <w:b/>
          <w:bCs/>
          <w:sz w:val="20"/>
          <w:szCs w:val="20"/>
        </w:rPr>
        <w:t xml:space="preserve"> entre 2017 y 2019</w:t>
      </w:r>
      <w:r w:rsidR="00482A3A" w:rsidRPr="005B0CEB">
        <w:rPr>
          <w:b/>
          <w:bCs/>
          <w:sz w:val="20"/>
          <w:szCs w:val="20"/>
        </w:rPr>
        <w:t>.</w:t>
      </w:r>
    </w:p>
    <w:p w14:paraId="55C552CA" w14:textId="589CF747" w:rsidR="00F25966" w:rsidRDefault="00F25966" w:rsidP="00F25966">
      <w:pPr>
        <w:jc w:val="center"/>
        <w:rPr>
          <w:b/>
          <w:bCs/>
        </w:rPr>
      </w:pPr>
      <w:r w:rsidRPr="007500C2">
        <w:rPr>
          <w:b/>
          <w:bCs/>
        </w:rPr>
        <w:lastRenderedPageBreak/>
        <w:t>ANÁLISIS</w:t>
      </w:r>
      <w:r w:rsidR="00533447">
        <w:rPr>
          <w:b/>
          <w:bCs/>
        </w:rPr>
        <w:t xml:space="preserve"> DE </w:t>
      </w:r>
      <w:r w:rsidR="00533447" w:rsidRPr="00533447">
        <w:rPr>
          <w:rFonts w:cstheme="minorHAnsi"/>
          <w:b/>
          <w:bCs/>
        </w:rPr>
        <w:t>CONCENTRACIÓN</w:t>
      </w:r>
      <w:r w:rsidR="00F756A7">
        <w:rPr>
          <w:rFonts w:cstheme="minorHAnsi"/>
          <w:b/>
          <w:bCs/>
        </w:rPr>
        <w:t xml:space="preserve"> </w:t>
      </w:r>
      <w:r w:rsidR="00F756A7">
        <w:rPr>
          <w:b/>
          <w:bCs/>
        </w:rPr>
        <w:t>DE PM</w:t>
      </w:r>
      <w:r w:rsidR="00F756A7">
        <w:rPr>
          <w:b/>
          <w:bCs/>
          <w:vertAlign w:val="subscript"/>
        </w:rPr>
        <w:t>2.5</w:t>
      </w:r>
      <w:r w:rsidR="00D07066">
        <w:rPr>
          <w:b/>
          <w:bCs/>
        </w:rPr>
        <w:t xml:space="preserve"> POR MUNICIPIO Y </w:t>
      </w:r>
      <w:r w:rsidR="00D07066" w:rsidRPr="007500C2">
        <w:rPr>
          <w:b/>
          <w:bCs/>
        </w:rPr>
        <w:t>DE</w:t>
      </w:r>
      <w:r w:rsidRPr="007500C2">
        <w:rPr>
          <w:b/>
          <w:bCs/>
        </w:rPr>
        <w:t xml:space="preserve"> DISPERSIÓN DE DATOS.</w:t>
      </w:r>
    </w:p>
    <w:p w14:paraId="2A736E75" w14:textId="755F6A7E" w:rsidR="005B0CEB" w:rsidRDefault="0034279D" w:rsidP="005B0CEB">
      <w:pPr>
        <w:jc w:val="both"/>
      </w:pPr>
      <w:r>
        <w:t xml:space="preserve">En los 10 municipios del valle de aburra, </w:t>
      </w:r>
      <w:r w:rsidR="005B0CEB">
        <w:t>Barbosa fue quien presento una menor mediana siendo esta de 11,1</w:t>
      </w:r>
      <w:r w:rsidR="005B0CEB" w:rsidRPr="003D79DC">
        <w:rPr>
          <w:rFonts w:cstheme="minorHAnsi"/>
        </w:rPr>
        <w:t xml:space="preserve"> </w:t>
      </w:r>
      <w:r w:rsidR="005B0CEB">
        <w:rPr>
          <w:rFonts w:cstheme="minorHAnsi"/>
        </w:rPr>
        <w:t>µ</w:t>
      </w:r>
      <w:r w:rsidR="005B0CEB">
        <w:t>m/m</w:t>
      </w:r>
      <w:r w:rsidR="005B0CEB" w:rsidRPr="00711693">
        <w:rPr>
          <w:vertAlign w:val="superscript"/>
        </w:rPr>
        <w:t>3</w:t>
      </w:r>
      <w:r w:rsidR="005B0CEB">
        <w:t xml:space="preserve">, El 50% de los valores en Barbosa oscilaron entre los 9 </w:t>
      </w:r>
      <w:r w:rsidR="005B0CEB">
        <w:rPr>
          <w:rFonts w:cstheme="minorHAnsi"/>
        </w:rPr>
        <w:t>µ</w:t>
      </w:r>
      <w:r w:rsidR="005B0CEB">
        <w:t>m/m</w:t>
      </w:r>
      <w:r w:rsidR="005B0CEB" w:rsidRPr="00711693">
        <w:rPr>
          <w:vertAlign w:val="superscript"/>
        </w:rPr>
        <w:t>3</w:t>
      </w:r>
      <w:r w:rsidR="005B0CEB">
        <w:t xml:space="preserve"> y los 14 </w:t>
      </w:r>
      <w:r w:rsidR="005B0CEB">
        <w:rPr>
          <w:rFonts w:cstheme="minorHAnsi"/>
        </w:rPr>
        <w:t>µ</w:t>
      </w:r>
      <w:r w:rsidR="005B0CEB">
        <w:t>m/m</w:t>
      </w:r>
      <w:r w:rsidR="005B0CEB" w:rsidRPr="00711693">
        <w:rPr>
          <w:vertAlign w:val="superscript"/>
        </w:rPr>
        <w:t>3</w:t>
      </w:r>
      <w:r w:rsidR="005B0CEB">
        <w:t>; aunque también presento valores atípicos como lo son 28,9</w:t>
      </w:r>
      <w:r w:rsidR="005B0CEB" w:rsidRPr="003D79DC">
        <w:rPr>
          <w:rFonts w:cstheme="minorHAnsi"/>
        </w:rPr>
        <w:t xml:space="preserve"> </w:t>
      </w:r>
      <w:r w:rsidR="005B0CEB">
        <w:rPr>
          <w:rFonts w:cstheme="minorHAnsi"/>
        </w:rPr>
        <w:t>µ</w:t>
      </w:r>
      <w:r w:rsidR="005B0CEB">
        <w:t>m/m</w:t>
      </w:r>
      <w:r w:rsidR="005B0CEB" w:rsidRPr="00711693">
        <w:rPr>
          <w:vertAlign w:val="superscript"/>
        </w:rPr>
        <w:t>3</w:t>
      </w:r>
      <w:r w:rsidR="005B0CEB">
        <w:t>; 26,4</w:t>
      </w:r>
      <w:r w:rsidR="005B0CEB" w:rsidRPr="003D79DC">
        <w:rPr>
          <w:rFonts w:cstheme="minorHAnsi"/>
        </w:rPr>
        <w:t xml:space="preserve"> </w:t>
      </w:r>
      <w:r w:rsidR="005B0CEB">
        <w:rPr>
          <w:rFonts w:cstheme="minorHAnsi"/>
        </w:rPr>
        <w:t>µ</w:t>
      </w:r>
      <w:r w:rsidR="005B0CEB">
        <w:t>m/m</w:t>
      </w:r>
      <w:r w:rsidR="005B0CEB" w:rsidRPr="00711693">
        <w:rPr>
          <w:vertAlign w:val="superscript"/>
        </w:rPr>
        <w:t>3</w:t>
      </w:r>
      <w:r w:rsidR="005B0CEB">
        <w:t>; 25,4</w:t>
      </w:r>
      <w:r w:rsidR="005B0CEB" w:rsidRPr="003D79DC">
        <w:rPr>
          <w:rFonts w:cstheme="minorHAnsi"/>
        </w:rPr>
        <w:t xml:space="preserve"> </w:t>
      </w:r>
      <w:r w:rsidR="005B0CEB">
        <w:rPr>
          <w:rFonts w:cstheme="minorHAnsi"/>
        </w:rPr>
        <w:t>µ</w:t>
      </w:r>
      <w:r w:rsidR="005B0CEB">
        <w:t>m/m</w:t>
      </w:r>
      <w:r w:rsidR="005B0CEB" w:rsidRPr="00711693">
        <w:rPr>
          <w:vertAlign w:val="superscript"/>
        </w:rPr>
        <w:t>3</w:t>
      </w:r>
      <w:r w:rsidR="005B0CEB">
        <w:t>; 22,6</w:t>
      </w:r>
      <w:r w:rsidR="005B0CEB" w:rsidRPr="003D79DC">
        <w:rPr>
          <w:rFonts w:cstheme="minorHAnsi"/>
        </w:rPr>
        <w:t xml:space="preserve"> </w:t>
      </w:r>
      <w:r w:rsidR="005B0CEB">
        <w:rPr>
          <w:rFonts w:cstheme="minorHAnsi"/>
        </w:rPr>
        <w:t>µ</w:t>
      </w:r>
      <w:r w:rsidR="005B0CEB">
        <w:t>m/m</w:t>
      </w:r>
      <w:r w:rsidR="005B0CEB" w:rsidRPr="00711693">
        <w:rPr>
          <w:vertAlign w:val="superscript"/>
        </w:rPr>
        <w:t>3</w:t>
      </w:r>
      <w:r w:rsidR="005B0CEB">
        <w:t>.</w:t>
      </w:r>
    </w:p>
    <w:p w14:paraId="29615041" w14:textId="77777777" w:rsidR="005B0CEB" w:rsidRDefault="005B0CEB" w:rsidP="005B0CEB">
      <w:pPr>
        <w:jc w:val="both"/>
      </w:pPr>
      <w:r>
        <w:t>Caldas fue de los 10 municipios quien presento una mayor mediana siendo esta de 23,4</w:t>
      </w:r>
      <w:r w:rsidRPr="003D79DC">
        <w:rPr>
          <w:rFonts w:cstheme="minorHAnsi"/>
        </w:rPr>
        <w:t xml:space="preserve"> </w:t>
      </w:r>
      <w:r>
        <w:rPr>
          <w:rFonts w:cstheme="minorHAnsi"/>
        </w:rPr>
        <w:t>µ</w:t>
      </w:r>
      <w:r>
        <w:t>m/m</w:t>
      </w:r>
      <w:r w:rsidRPr="00711693">
        <w:rPr>
          <w:vertAlign w:val="superscript"/>
        </w:rPr>
        <w:t>3</w:t>
      </w:r>
      <w:r>
        <w:t>, El 50% de los valores en Caldas oscilaron entre los 18,1</w:t>
      </w:r>
      <w:r w:rsidRPr="00FE65B2">
        <w:rPr>
          <w:rFonts w:cstheme="minorHAnsi"/>
        </w:rPr>
        <w:t xml:space="preserve"> </w:t>
      </w:r>
      <w:r>
        <w:rPr>
          <w:rFonts w:cstheme="minorHAnsi"/>
        </w:rPr>
        <w:t>µ</w:t>
      </w:r>
      <w:r>
        <w:t>m/m</w:t>
      </w:r>
      <w:r w:rsidRPr="00711693">
        <w:rPr>
          <w:vertAlign w:val="superscript"/>
        </w:rPr>
        <w:t>3</w:t>
      </w:r>
      <w:r>
        <w:t xml:space="preserve"> y los 26,9 </w:t>
      </w:r>
      <w:r>
        <w:rPr>
          <w:rFonts w:cstheme="minorHAnsi"/>
        </w:rPr>
        <w:t>µ</w:t>
      </w:r>
      <w:r>
        <w:t>m/m</w:t>
      </w:r>
      <w:r w:rsidRPr="00711693">
        <w:rPr>
          <w:vertAlign w:val="superscript"/>
        </w:rPr>
        <w:t>3</w:t>
      </w:r>
      <w:r>
        <w:t>; sin la presencia de valores atípicos.</w:t>
      </w:r>
    </w:p>
    <w:p w14:paraId="1550879C" w14:textId="35DB1C67" w:rsidR="005B0CEB" w:rsidRDefault="005B0CEB" w:rsidP="005B0CEB">
      <w:pPr>
        <w:jc w:val="both"/>
      </w:pPr>
      <w:r>
        <w:t xml:space="preserve">La </w:t>
      </w:r>
      <w:r w:rsidR="003C3EED">
        <w:t>E</w:t>
      </w:r>
      <w:r>
        <w:t>strella, aunque presento valores atípicos fue el municipio donde los datos son más similares allí el 50% de los datos se encontraba entre 15,1</w:t>
      </w:r>
      <w:r>
        <w:rPr>
          <w:rFonts w:cstheme="minorHAnsi"/>
        </w:rPr>
        <w:t>µ</w:t>
      </w:r>
      <w:r>
        <w:t>m/m</w:t>
      </w:r>
      <w:r w:rsidRPr="00711693">
        <w:rPr>
          <w:vertAlign w:val="superscript"/>
        </w:rPr>
        <w:t>3</w:t>
      </w:r>
      <w:r>
        <w:t xml:space="preserve"> y 19,8 </w:t>
      </w:r>
      <w:r>
        <w:rPr>
          <w:rFonts w:cstheme="minorHAnsi"/>
        </w:rPr>
        <w:t>µ</w:t>
      </w:r>
      <w:r>
        <w:t>m/m</w:t>
      </w:r>
      <w:r w:rsidRPr="00711693">
        <w:rPr>
          <w:vertAlign w:val="superscript"/>
        </w:rPr>
        <w:t>3</w:t>
      </w:r>
      <w:r>
        <w:t xml:space="preserve"> mientras que el otro 50 % estaba repartido de 13,4</w:t>
      </w:r>
      <w:r w:rsidR="003C3EED">
        <w:t xml:space="preserve"> </w:t>
      </w:r>
      <w:r>
        <w:rPr>
          <w:rFonts w:cstheme="minorHAnsi"/>
        </w:rPr>
        <w:t>µ</w:t>
      </w:r>
      <w:r>
        <w:t>m/m</w:t>
      </w:r>
      <w:r w:rsidRPr="00711693">
        <w:rPr>
          <w:vertAlign w:val="superscript"/>
        </w:rPr>
        <w:t>3</w:t>
      </w:r>
      <w:r>
        <w:t xml:space="preserve"> a 15,1 </w:t>
      </w:r>
      <w:r>
        <w:rPr>
          <w:rFonts w:cstheme="minorHAnsi"/>
        </w:rPr>
        <w:t>µ</w:t>
      </w:r>
      <w:r>
        <w:t xml:space="preserve">m/m3 y de 19,8 </w:t>
      </w:r>
      <w:r>
        <w:rPr>
          <w:rFonts w:cstheme="minorHAnsi"/>
        </w:rPr>
        <w:t>µ</w:t>
      </w:r>
      <w:r>
        <w:t>m/m</w:t>
      </w:r>
      <w:r w:rsidRPr="00711693">
        <w:rPr>
          <w:vertAlign w:val="superscript"/>
        </w:rPr>
        <w:t>3</w:t>
      </w:r>
      <w:r>
        <w:t xml:space="preserve"> a 21,2 </w:t>
      </w:r>
      <w:r>
        <w:rPr>
          <w:rFonts w:cstheme="minorHAnsi"/>
        </w:rPr>
        <w:t>µ</w:t>
      </w:r>
      <w:r>
        <w:t>m/m</w:t>
      </w:r>
      <w:r w:rsidRPr="00711693">
        <w:rPr>
          <w:vertAlign w:val="superscript"/>
        </w:rPr>
        <w:t>3</w:t>
      </w:r>
      <w:r>
        <w:t xml:space="preserve">. </w:t>
      </w:r>
    </w:p>
    <w:p w14:paraId="4D6F35C7" w14:textId="4ABA8318" w:rsidR="005B0CEB" w:rsidRPr="00471858" w:rsidRDefault="005B0CEB" w:rsidP="005B0CEB">
      <w:pPr>
        <w:jc w:val="both"/>
      </w:pPr>
      <w:r>
        <w:t xml:space="preserve">Se puede observar el alto nivel de dispersión en </w:t>
      </w:r>
      <w:r w:rsidR="003C3EED">
        <w:t xml:space="preserve">las medianas </w:t>
      </w:r>
      <w:r>
        <w:t xml:space="preserve">de </w:t>
      </w:r>
      <w:r w:rsidR="003C3EED">
        <w:t>(las m</w:t>
      </w:r>
      <w:r>
        <w:t>ediciones</w:t>
      </w:r>
      <w:r w:rsidR="003C3EED">
        <w:t>)</w:t>
      </w:r>
      <w:r>
        <w:t xml:space="preserve"> ambientales para los diferentes municipios que hicieron parte del valle de aburra, esto se reflejó en la variación de la mediana ya que en todos los municipios fue diferente; el municipio donde se presentó mayor dispersión en los datos fue </w:t>
      </w:r>
      <w:r w:rsidR="0034279D">
        <w:t>S</w:t>
      </w:r>
      <w:r>
        <w:t xml:space="preserve">abaneta con una mediana de 25,6 </w:t>
      </w:r>
      <w:r>
        <w:rPr>
          <w:rFonts w:cstheme="minorHAnsi"/>
        </w:rPr>
        <w:t>µ</w:t>
      </w:r>
      <w:r>
        <w:t>m/m</w:t>
      </w:r>
      <w:r w:rsidRPr="00B1103F">
        <w:rPr>
          <w:vertAlign w:val="superscript"/>
        </w:rPr>
        <w:t>3</w:t>
      </w:r>
      <w:r>
        <w:t xml:space="preserve"> y donde el 75% de los datos se encontraban por debajo de  39</w:t>
      </w:r>
      <w:r w:rsidRPr="003D79DC">
        <w:rPr>
          <w:rFonts w:cstheme="minorHAnsi"/>
        </w:rPr>
        <w:t xml:space="preserve"> </w:t>
      </w:r>
      <w:r>
        <w:rPr>
          <w:rFonts w:cstheme="minorHAnsi"/>
        </w:rPr>
        <w:t>µ</w:t>
      </w:r>
      <w:r>
        <w:t>m/m</w:t>
      </w:r>
      <w:r w:rsidRPr="00711693">
        <w:rPr>
          <w:vertAlign w:val="superscript"/>
        </w:rPr>
        <w:t>3</w:t>
      </w:r>
      <w:r>
        <w:t xml:space="preserve">; el municipio con menor dispersión en los datos fue </w:t>
      </w:r>
      <w:r w:rsidR="0034279D">
        <w:t>E</w:t>
      </w:r>
      <w:r>
        <w:t xml:space="preserve">nvigado con </w:t>
      </w:r>
      <w:r w:rsidR="003C3EED">
        <w:t>el</w:t>
      </w:r>
      <w:r>
        <w:t xml:space="preserve"> cuartil inferior de 13,8</w:t>
      </w:r>
      <w:r w:rsidRPr="003D79DC">
        <w:rPr>
          <w:rFonts w:cstheme="minorHAnsi"/>
        </w:rPr>
        <w:t xml:space="preserve"> </w:t>
      </w:r>
      <w:r>
        <w:rPr>
          <w:rFonts w:cstheme="minorHAnsi"/>
        </w:rPr>
        <w:t>µ</w:t>
      </w:r>
      <w:r>
        <w:t>m/m</w:t>
      </w:r>
      <w:r w:rsidRPr="00711693">
        <w:rPr>
          <w:vertAlign w:val="superscript"/>
        </w:rPr>
        <w:t>3</w:t>
      </w:r>
      <w:r>
        <w:t xml:space="preserve">, una mediana de 15,9 </w:t>
      </w:r>
      <w:r>
        <w:rPr>
          <w:rFonts w:cstheme="minorHAnsi"/>
        </w:rPr>
        <w:t>µ</w:t>
      </w:r>
      <w:r>
        <w:t>m/m</w:t>
      </w:r>
      <w:r w:rsidRPr="00711693">
        <w:rPr>
          <w:vertAlign w:val="superscript"/>
        </w:rPr>
        <w:t>3</w:t>
      </w:r>
      <w:r>
        <w:t xml:space="preserve"> y un cuartil superior de 18,2</w:t>
      </w:r>
      <w:r w:rsidRPr="003D79DC">
        <w:rPr>
          <w:rFonts w:cstheme="minorHAnsi"/>
        </w:rPr>
        <w:t xml:space="preserve"> </w:t>
      </w:r>
      <w:r>
        <w:rPr>
          <w:rFonts w:cstheme="minorHAnsi"/>
        </w:rPr>
        <w:t>µ</w:t>
      </w:r>
      <w:r>
        <w:t>m/m</w:t>
      </w:r>
      <w:r w:rsidRPr="00711693">
        <w:rPr>
          <w:vertAlign w:val="superscript"/>
        </w:rPr>
        <w:t>3</w:t>
      </w:r>
      <w:r>
        <w:t>, es decir el 75% de los datos se encuentran por debajo de 18,2</w:t>
      </w:r>
      <w:r w:rsidRPr="003D79DC">
        <w:rPr>
          <w:rFonts w:cstheme="minorHAnsi"/>
        </w:rPr>
        <w:t xml:space="preserve"> </w:t>
      </w:r>
      <w:r>
        <w:rPr>
          <w:rFonts w:cstheme="minorHAnsi"/>
        </w:rPr>
        <w:t>µ</w:t>
      </w:r>
      <w:r>
        <w:t>m/m</w:t>
      </w:r>
      <w:r w:rsidRPr="00711693">
        <w:rPr>
          <w:vertAlign w:val="superscript"/>
        </w:rPr>
        <w:t>3</w:t>
      </w:r>
      <w:r w:rsidR="0034279D">
        <w:t>,</w:t>
      </w:r>
      <w:r>
        <w:t xml:space="preserve"> el otro 25 % se encuentran hasta los 18,9</w:t>
      </w:r>
      <w:r w:rsidRPr="003D79DC">
        <w:rPr>
          <w:rFonts w:cstheme="minorHAnsi"/>
        </w:rPr>
        <w:t xml:space="preserve"> </w:t>
      </w:r>
      <w:r>
        <w:rPr>
          <w:rFonts w:cstheme="minorHAnsi"/>
        </w:rPr>
        <w:t>µ</w:t>
      </w:r>
      <w:r>
        <w:t>m/m</w:t>
      </w:r>
      <w:r w:rsidRPr="00711693">
        <w:rPr>
          <w:vertAlign w:val="superscript"/>
        </w:rPr>
        <w:t>3</w:t>
      </w:r>
      <w:r>
        <w:t>.</w:t>
      </w:r>
    </w:p>
    <w:p w14:paraId="0E05F105" w14:textId="77777777" w:rsidR="00F25966" w:rsidRDefault="00F25966" w:rsidP="00F25966">
      <w:r>
        <w:rPr>
          <w:noProof/>
        </w:rPr>
        <mc:AlternateContent>
          <mc:Choice Requires="cx1">
            <w:drawing>
              <wp:inline distT="0" distB="0" distL="0" distR="0" wp14:anchorId="6EF30EBE" wp14:editId="7D898FF9">
                <wp:extent cx="8666329" cy="2415654"/>
                <wp:effectExtent l="0" t="0" r="1905" b="3810"/>
                <wp:docPr id="1" name="Gráfico 1">
                  <a:extLst xmlns:a="http://schemas.openxmlformats.org/drawingml/2006/main">
                    <a:ext uri="{FF2B5EF4-FFF2-40B4-BE49-F238E27FC236}">
                      <a16:creationId xmlns:a16="http://schemas.microsoft.com/office/drawing/2014/main" id="{2CB03EFA-BC75-4299-93EA-9CEFFEB5D12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
                  </a:graphicData>
                </a:graphic>
              </wp:inline>
            </w:drawing>
          </mc:Choice>
          <mc:Fallback>
            <w:drawing>
              <wp:inline distT="0" distB="0" distL="0" distR="0" wp14:anchorId="6EF30EBE" wp14:editId="7D898FF9">
                <wp:extent cx="8666329" cy="2415654"/>
                <wp:effectExtent l="0" t="0" r="1905" b="3810"/>
                <wp:docPr id="1" name="Gráfico 1">
                  <a:extLst xmlns:a="http://schemas.openxmlformats.org/drawingml/2006/main">
                    <a:ext uri="{FF2B5EF4-FFF2-40B4-BE49-F238E27FC236}">
                      <a16:creationId xmlns:a16="http://schemas.microsoft.com/office/drawing/2014/main" id="{2CB03EFA-BC75-4299-93EA-9CEFFEB5D12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Gráfico 1">
                          <a:extLst>
                            <a:ext uri="{FF2B5EF4-FFF2-40B4-BE49-F238E27FC236}">
                              <a16:creationId xmlns:a16="http://schemas.microsoft.com/office/drawing/2014/main" id="{2CB03EFA-BC75-4299-93EA-9CEFFEB5D121}"/>
                            </a:ext>
                          </a:extLst>
                        </pic:cNvPr>
                        <pic:cNvPicPr>
                          <a:picLocks noGrp="1" noRot="1" noChangeAspect="1" noMove="1" noResize="1" noEditPoints="1" noAdjustHandles="1" noChangeArrowheads="1" noChangeShapeType="1"/>
                        </pic:cNvPicPr>
                      </pic:nvPicPr>
                      <pic:blipFill>
                        <a:blip r:embed="rId8"/>
                        <a:stretch>
                          <a:fillRect/>
                        </a:stretch>
                      </pic:blipFill>
                      <pic:spPr>
                        <a:xfrm>
                          <a:off x="0" y="0"/>
                          <a:ext cx="8665845" cy="2415540"/>
                        </a:xfrm>
                        <a:prstGeom prst="rect">
                          <a:avLst/>
                        </a:prstGeom>
                      </pic:spPr>
                    </pic:pic>
                  </a:graphicData>
                </a:graphic>
              </wp:inline>
            </w:drawing>
          </mc:Fallback>
        </mc:AlternateContent>
      </w:r>
    </w:p>
    <w:p w14:paraId="14FBF3EF" w14:textId="5E30C3A4" w:rsidR="00F25966" w:rsidRDefault="00F25966" w:rsidP="00F25966">
      <w:r w:rsidRPr="007E5B61">
        <w:rPr>
          <w:sz w:val="20"/>
          <w:szCs w:val="20"/>
        </w:rPr>
        <w:t xml:space="preserve">Gráfico </w:t>
      </w:r>
      <w:r w:rsidR="00D07066">
        <w:rPr>
          <w:sz w:val="20"/>
          <w:szCs w:val="20"/>
        </w:rPr>
        <w:t>4</w:t>
      </w:r>
      <w:r w:rsidRPr="007E5B61">
        <w:rPr>
          <w:sz w:val="20"/>
          <w:szCs w:val="20"/>
        </w:rPr>
        <w:t>.  Cajas y bigotes de la concentración de PM</w:t>
      </w:r>
      <w:r w:rsidRPr="00711693">
        <w:rPr>
          <w:sz w:val="20"/>
          <w:szCs w:val="20"/>
          <w:vertAlign w:val="subscript"/>
        </w:rPr>
        <w:t>2,5</w:t>
      </w:r>
      <w:r w:rsidRPr="007E5B61">
        <w:rPr>
          <w:sz w:val="20"/>
          <w:szCs w:val="20"/>
        </w:rPr>
        <w:t xml:space="preserve"> por municipio entre los años 2017 y 2019.</w:t>
      </w:r>
    </w:p>
    <w:sectPr w:rsidR="00F25966" w:rsidSect="00851B3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67"/>
    <w:rsid w:val="00056F6A"/>
    <w:rsid w:val="0008129C"/>
    <w:rsid w:val="00081E41"/>
    <w:rsid w:val="00084674"/>
    <w:rsid w:val="000F7B67"/>
    <w:rsid w:val="00137BC4"/>
    <w:rsid w:val="00185901"/>
    <w:rsid w:val="001E08D7"/>
    <w:rsid w:val="00233516"/>
    <w:rsid w:val="002578A0"/>
    <w:rsid w:val="0034279D"/>
    <w:rsid w:val="00344B37"/>
    <w:rsid w:val="00367D71"/>
    <w:rsid w:val="003C3EED"/>
    <w:rsid w:val="003D79DC"/>
    <w:rsid w:val="00402187"/>
    <w:rsid w:val="00423F9D"/>
    <w:rsid w:val="00432967"/>
    <w:rsid w:val="0045524C"/>
    <w:rsid w:val="00471858"/>
    <w:rsid w:val="00482A3A"/>
    <w:rsid w:val="00486212"/>
    <w:rsid w:val="004D70D6"/>
    <w:rsid w:val="00503698"/>
    <w:rsid w:val="005273C5"/>
    <w:rsid w:val="005311FA"/>
    <w:rsid w:val="00533447"/>
    <w:rsid w:val="005B0CEB"/>
    <w:rsid w:val="00711693"/>
    <w:rsid w:val="00745833"/>
    <w:rsid w:val="007500C2"/>
    <w:rsid w:val="0078603B"/>
    <w:rsid w:val="007E5B61"/>
    <w:rsid w:val="007E5D8A"/>
    <w:rsid w:val="00842590"/>
    <w:rsid w:val="00851B3F"/>
    <w:rsid w:val="00882795"/>
    <w:rsid w:val="009B2E17"/>
    <w:rsid w:val="00AA73E1"/>
    <w:rsid w:val="00AB5A09"/>
    <w:rsid w:val="00AC1BDF"/>
    <w:rsid w:val="00AC6EA3"/>
    <w:rsid w:val="00B1103F"/>
    <w:rsid w:val="00B40C2F"/>
    <w:rsid w:val="00B678B2"/>
    <w:rsid w:val="00C01834"/>
    <w:rsid w:val="00C9790E"/>
    <w:rsid w:val="00CD2E22"/>
    <w:rsid w:val="00D07066"/>
    <w:rsid w:val="00D736F6"/>
    <w:rsid w:val="00D90150"/>
    <w:rsid w:val="00EE02B0"/>
    <w:rsid w:val="00F25966"/>
    <w:rsid w:val="00F756A7"/>
    <w:rsid w:val="00F93C85"/>
    <w:rsid w:val="00FE65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C7CB"/>
  <w15:chartTrackingRefBased/>
  <w15:docId w15:val="{93179020-1E7E-4290-83A6-9CE4AB18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microsoft.com/office/2014/relationships/chartEx" Target="charts/chart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10" Type="http://schemas.openxmlformats.org/officeDocument/2006/relationships/theme" Target="theme/theme1.xml"/><Relationship Id="rId4" Type="http://schemas.openxmlformats.org/officeDocument/2006/relationships/chart" Target="charts/chart1.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Lucas%20Tamayo\Desktop\Trabajo%20de%20Grado\Objetivo%202\Graficos%20analisis%20PM%202.5%202017%20-2019.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Users\Lucas%20Tamayo\Desktop\Trabajo%20de%20Grado\Objetivo%202\Graficos.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D:\Users\Lucas%20Tamayo\Desktop\Trabajo%20de%20Grado\Objetivo%202\Graficos.xlsx" TargetMode="External"/><Relationship Id="rId2" Type="http://schemas.microsoft.com/office/2011/relationships/chartColorStyle" Target="colors2.xml"/><Relationship Id="rId1" Type="http://schemas.microsoft.com/office/2011/relationships/chartStyle" Target="style2.xml"/></Relationships>
</file>

<file path=word/charts/_rels/chartEx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Users\Lucas%20Tamayo\Desktop\Trabajo%20de%20Grado\Objetivo%202\Gra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4406167979"/>
          <c:y val="5.1400554097404488E-2"/>
          <c:w val="0.68826968503937003"/>
          <c:h val="0.77611475648877226"/>
        </c:manualLayout>
      </c:layout>
      <c:scatterChart>
        <c:scatterStyle val="lineMarker"/>
        <c:varyColors val="0"/>
        <c:ser>
          <c:idx val="0"/>
          <c:order val="0"/>
          <c:tx>
            <c:strRef>
              <c:f>Anual!$I$2</c:f>
              <c:strCache>
                <c:ptCount val="1"/>
                <c:pt idx="0">
                  <c:v>Promedio de concentración diario</c:v>
                </c:pt>
              </c:strCache>
            </c:strRef>
          </c:tx>
          <c:spPr>
            <a:ln w="63500"/>
          </c:spPr>
          <c:marker>
            <c:symbol val="none"/>
          </c:marker>
          <c:dLbls>
            <c:dLbl>
              <c:idx val="0"/>
              <c:layout>
                <c:manualLayout>
                  <c:x val="-9.5601629677947067E-2"/>
                  <c:y val="1.80438903470399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02D-43C9-91D0-D413F3772139}"/>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Anual!$H$3:$H$5</c:f>
              <c:numCache>
                <c:formatCode>General</c:formatCode>
                <c:ptCount val="3"/>
                <c:pt idx="0">
                  <c:v>2017</c:v>
                </c:pt>
                <c:pt idx="1">
                  <c:v>2018</c:v>
                </c:pt>
                <c:pt idx="2">
                  <c:v>2019</c:v>
                </c:pt>
              </c:numCache>
            </c:numRef>
          </c:xVal>
          <c:yVal>
            <c:numRef>
              <c:f>Anual!$I$3:$I$5</c:f>
              <c:numCache>
                <c:formatCode>0.0</c:formatCode>
                <c:ptCount val="3"/>
                <c:pt idx="0">
                  <c:v>23.181904935591636</c:v>
                </c:pt>
                <c:pt idx="1">
                  <c:v>19.029212996347756</c:v>
                </c:pt>
                <c:pt idx="2">
                  <c:v>18.608130304150141</c:v>
                </c:pt>
              </c:numCache>
            </c:numRef>
          </c:yVal>
          <c:smooth val="0"/>
          <c:extLst>
            <c:ext xmlns:c16="http://schemas.microsoft.com/office/drawing/2014/chart" uri="{C3380CC4-5D6E-409C-BE32-E72D297353CC}">
              <c16:uniqueId val="{00000001-C02D-43C9-91D0-D413F3772139}"/>
            </c:ext>
          </c:extLst>
        </c:ser>
        <c:ser>
          <c:idx val="1"/>
          <c:order val="1"/>
          <c:tx>
            <c:v>Limite de concentración OMS</c:v>
          </c:tx>
          <c:spPr>
            <a:ln w="38100">
              <a:solidFill>
                <a:srgbClr val="FF0000"/>
              </a:solidFill>
            </a:ln>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2-C02D-43C9-91D0-D413F3772139}"/>
                </c:ext>
              </c:extLst>
            </c:dLbl>
            <c:dLbl>
              <c:idx val="2"/>
              <c:delete val="1"/>
              <c:extLst>
                <c:ext xmlns:c15="http://schemas.microsoft.com/office/drawing/2012/chart" uri="{CE6537A1-D6FC-4f65-9D91-7224C49458BB}"/>
                <c:ext xmlns:c16="http://schemas.microsoft.com/office/drawing/2014/chart" uri="{C3380CC4-5D6E-409C-BE32-E72D297353CC}">
                  <c16:uniqueId val="{00000003-C02D-43C9-91D0-D413F3772139}"/>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Anual!$H$3:$H$5</c:f>
              <c:numCache>
                <c:formatCode>General</c:formatCode>
                <c:ptCount val="3"/>
                <c:pt idx="0">
                  <c:v>2017</c:v>
                </c:pt>
                <c:pt idx="1">
                  <c:v>2018</c:v>
                </c:pt>
                <c:pt idx="2">
                  <c:v>2019</c:v>
                </c:pt>
              </c:numCache>
            </c:numRef>
          </c:xVal>
          <c:yVal>
            <c:numRef>
              <c:f>Anual!$J$3:$J$5</c:f>
              <c:numCache>
                <c:formatCode>General</c:formatCode>
                <c:ptCount val="3"/>
                <c:pt idx="0">
                  <c:v>10</c:v>
                </c:pt>
                <c:pt idx="1">
                  <c:v>10</c:v>
                </c:pt>
                <c:pt idx="2">
                  <c:v>10</c:v>
                </c:pt>
              </c:numCache>
            </c:numRef>
          </c:yVal>
          <c:smooth val="0"/>
          <c:extLst>
            <c:ext xmlns:c16="http://schemas.microsoft.com/office/drawing/2014/chart" uri="{C3380CC4-5D6E-409C-BE32-E72D297353CC}">
              <c16:uniqueId val="{00000004-C02D-43C9-91D0-D413F3772139}"/>
            </c:ext>
          </c:extLst>
        </c:ser>
        <c:ser>
          <c:idx val="2"/>
          <c:order val="2"/>
          <c:tx>
            <c:v>Limite concentración Colombia</c:v>
          </c:tx>
          <c:spPr>
            <a:ln w="38100">
              <a:solidFill>
                <a:srgbClr val="00B050"/>
              </a:solidFill>
            </a:ln>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5-C02D-43C9-91D0-D413F3772139}"/>
                </c:ext>
              </c:extLst>
            </c:dLbl>
            <c:dLbl>
              <c:idx val="2"/>
              <c:delete val="1"/>
              <c:extLst>
                <c:ext xmlns:c15="http://schemas.microsoft.com/office/drawing/2012/chart" uri="{CE6537A1-D6FC-4f65-9D91-7224C49458BB}"/>
                <c:ext xmlns:c16="http://schemas.microsoft.com/office/drawing/2014/chart" uri="{C3380CC4-5D6E-409C-BE32-E72D297353CC}">
                  <c16:uniqueId val="{00000006-C02D-43C9-91D0-D413F3772139}"/>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Anual!$H$3:$H$5</c:f>
              <c:numCache>
                <c:formatCode>General</c:formatCode>
                <c:ptCount val="3"/>
                <c:pt idx="0">
                  <c:v>2017</c:v>
                </c:pt>
                <c:pt idx="1">
                  <c:v>2018</c:v>
                </c:pt>
                <c:pt idx="2">
                  <c:v>2019</c:v>
                </c:pt>
              </c:numCache>
            </c:numRef>
          </c:xVal>
          <c:yVal>
            <c:numRef>
              <c:f>Anual!$K$3:$K$5</c:f>
              <c:numCache>
                <c:formatCode>General</c:formatCode>
                <c:ptCount val="3"/>
                <c:pt idx="0">
                  <c:v>25</c:v>
                </c:pt>
                <c:pt idx="1">
                  <c:v>25</c:v>
                </c:pt>
                <c:pt idx="2">
                  <c:v>25</c:v>
                </c:pt>
              </c:numCache>
            </c:numRef>
          </c:yVal>
          <c:smooth val="0"/>
          <c:extLst>
            <c:ext xmlns:c16="http://schemas.microsoft.com/office/drawing/2014/chart" uri="{C3380CC4-5D6E-409C-BE32-E72D297353CC}">
              <c16:uniqueId val="{00000007-C02D-43C9-91D0-D413F3772139}"/>
            </c:ext>
          </c:extLst>
        </c:ser>
        <c:dLbls>
          <c:dLblPos val="t"/>
          <c:showLegendKey val="0"/>
          <c:showVal val="1"/>
          <c:showCatName val="0"/>
          <c:showSerName val="0"/>
          <c:showPercent val="0"/>
          <c:showBubbleSize val="0"/>
        </c:dLbls>
        <c:axId val="20994416"/>
        <c:axId val="20984848"/>
      </c:scatterChart>
      <c:valAx>
        <c:axId val="20994416"/>
        <c:scaling>
          <c:orientation val="minMax"/>
          <c:max val="2020"/>
          <c:min val="2016"/>
        </c:scaling>
        <c:delete val="0"/>
        <c:axPos val="b"/>
        <c:title>
          <c:tx>
            <c:rich>
              <a:bodyPr/>
              <a:lstStyle/>
              <a:p>
                <a:pPr>
                  <a:defRPr/>
                </a:pPr>
                <a:r>
                  <a:rPr lang="es-CO"/>
                  <a:t>Año</a:t>
                </a:r>
              </a:p>
            </c:rich>
          </c:tx>
          <c:overlay val="0"/>
        </c:title>
        <c:numFmt formatCode="General" sourceLinked="1"/>
        <c:majorTickMark val="none"/>
        <c:minorTickMark val="none"/>
        <c:tickLblPos val="nextTo"/>
        <c:crossAx val="20984848"/>
        <c:crosses val="autoZero"/>
        <c:crossBetween val="midCat"/>
        <c:minorUnit val="1"/>
      </c:valAx>
      <c:valAx>
        <c:axId val="20984848"/>
        <c:scaling>
          <c:orientation val="minMax"/>
        </c:scaling>
        <c:delete val="0"/>
        <c:axPos val="l"/>
        <c:majorGridlines/>
        <c:title>
          <c:tx>
            <c:rich>
              <a:bodyPr/>
              <a:lstStyle/>
              <a:p>
                <a:pPr>
                  <a:defRPr/>
                </a:pPr>
                <a:r>
                  <a:rPr lang="es-CO"/>
                  <a:t>Promedio de concentración en</a:t>
                </a:r>
                <a:r>
                  <a:rPr lang="es-CO" baseline="0"/>
                  <a:t> </a:t>
                </a:r>
                <a:r>
                  <a:rPr lang="es-CO"/>
                  <a:t>µm/m3</a:t>
                </a:r>
              </a:p>
            </c:rich>
          </c:tx>
          <c:layout>
            <c:manualLayout>
              <c:xMode val="edge"/>
              <c:yMode val="edge"/>
              <c:x val="1.6491469816272964E-2"/>
              <c:y val="2.0140711577719451E-2"/>
            </c:manualLayout>
          </c:layout>
          <c:overlay val="0"/>
        </c:title>
        <c:numFmt formatCode="0.0" sourceLinked="1"/>
        <c:majorTickMark val="none"/>
        <c:minorTickMark val="none"/>
        <c:tickLblPos val="nextTo"/>
        <c:crossAx val="20994416"/>
        <c:crosses val="autoZero"/>
        <c:crossBetween val="midCat"/>
      </c:valAx>
    </c:plotArea>
    <c:legend>
      <c:legendPos val="r"/>
      <c:layout>
        <c:manualLayout>
          <c:xMode val="edge"/>
          <c:yMode val="edge"/>
          <c:x val="0.81990965521001269"/>
          <c:y val="0.20312773403324588"/>
          <c:w val="0.16822090858820693"/>
          <c:h val="0.64467009332166814"/>
        </c:manualLayout>
      </c:layout>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2017</c:v>
          </c:tx>
          <c:spPr>
            <a:ln w="28575" cap="rnd">
              <a:solidFill>
                <a:schemeClr val="accent1"/>
              </a:solidFill>
              <a:round/>
            </a:ln>
            <a:effectLst/>
          </c:spPr>
          <c:marker>
            <c:symbol val="none"/>
          </c:marker>
          <c:cat>
            <c:strRef>
              <c:f>'Linea del tiempo por municipio'!$B$2:$B$13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'Linea del tiempo Valle de aburr'!$C$2:$C$13</c:f>
              <c:numCache>
                <c:formatCode>0.0</c:formatCode>
                <c:ptCount val="12"/>
                <c:pt idx="0">
                  <c:v>24.045962039752361</c:v>
                </c:pt>
                <c:pt idx="1">
                  <c:v>28.087532467532473</c:v>
                </c:pt>
                <c:pt idx="2">
                  <c:v>29.913897849462366</c:v>
                </c:pt>
                <c:pt idx="3">
                  <c:v>25.244101010101012</c:v>
                </c:pt>
                <c:pt idx="4">
                  <c:v>23.195148256761161</c:v>
                </c:pt>
                <c:pt idx="5">
                  <c:v>21.789738215488214</c:v>
                </c:pt>
                <c:pt idx="6">
                  <c:v>20.886533072662107</c:v>
                </c:pt>
                <c:pt idx="7">
                  <c:v>20.974687194525902</c:v>
                </c:pt>
                <c:pt idx="8">
                  <c:v>22.741555999556006</c:v>
                </c:pt>
                <c:pt idx="9">
                  <c:v>21.848374502950811</c:v>
                </c:pt>
                <c:pt idx="10">
                  <c:v>19.411682803847565</c:v>
                </c:pt>
                <c:pt idx="11">
                  <c:v>20.043645814459648</c:v>
                </c:pt>
              </c:numCache>
            </c:numRef>
          </c:val>
          <c:smooth val="0"/>
          <c:extLst>
            <c:ext xmlns:c16="http://schemas.microsoft.com/office/drawing/2014/chart" uri="{C3380CC4-5D6E-409C-BE32-E72D297353CC}">
              <c16:uniqueId val="{00000000-5742-45C4-A914-FF36ACC69A93}"/>
            </c:ext>
          </c:extLst>
        </c:ser>
        <c:ser>
          <c:idx val="1"/>
          <c:order val="1"/>
          <c:tx>
            <c:v>2018</c:v>
          </c:tx>
          <c:spPr>
            <a:ln w="28575" cap="rnd">
              <a:solidFill>
                <a:schemeClr val="accent2"/>
              </a:solidFill>
              <a:round/>
            </a:ln>
            <a:effectLst/>
          </c:spPr>
          <c:marker>
            <c:symbol val="none"/>
          </c:marker>
          <c:val>
            <c:numRef>
              <c:f>'Linea del tiempo Valle de aburr'!$C$14:$C$25</c:f>
              <c:numCache>
                <c:formatCode>0.0</c:formatCode>
                <c:ptCount val="12"/>
                <c:pt idx="0">
                  <c:v>20.037736265809269</c:v>
                </c:pt>
                <c:pt idx="1">
                  <c:v>29.158675666438821</c:v>
                </c:pt>
                <c:pt idx="2">
                  <c:v>30.017699738316846</c:v>
                </c:pt>
                <c:pt idx="3">
                  <c:v>18.766868686868687</c:v>
                </c:pt>
                <c:pt idx="4">
                  <c:v>16.040316076114038</c:v>
                </c:pt>
                <c:pt idx="5">
                  <c:v>13.739992063492062</c:v>
                </c:pt>
                <c:pt idx="6">
                  <c:v>14.709342270632595</c:v>
                </c:pt>
                <c:pt idx="7">
                  <c:v>15.959714425359591</c:v>
                </c:pt>
                <c:pt idx="8">
                  <c:v>17.334871547555753</c:v>
                </c:pt>
                <c:pt idx="9">
                  <c:v>15.972489287735467</c:v>
                </c:pt>
                <c:pt idx="10">
                  <c:v>17.670678210678208</c:v>
                </c:pt>
                <c:pt idx="11">
                  <c:v>18.942171717171718</c:v>
                </c:pt>
              </c:numCache>
            </c:numRef>
          </c:val>
          <c:smooth val="0"/>
          <c:extLst>
            <c:ext xmlns:c16="http://schemas.microsoft.com/office/drawing/2014/chart" uri="{C3380CC4-5D6E-409C-BE32-E72D297353CC}">
              <c16:uniqueId val="{00000001-5742-45C4-A914-FF36ACC69A93}"/>
            </c:ext>
          </c:extLst>
        </c:ser>
        <c:ser>
          <c:idx val="2"/>
          <c:order val="2"/>
          <c:tx>
            <c:v>2019</c:v>
          </c:tx>
          <c:spPr>
            <a:ln w="28575" cap="rnd">
              <a:solidFill>
                <a:schemeClr val="accent3"/>
              </a:solidFill>
              <a:round/>
            </a:ln>
            <a:effectLst/>
          </c:spPr>
          <c:marker>
            <c:symbol val="none"/>
          </c:marker>
          <c:val>
            <c:numRef>
              <c:f>'Linea del tiempo Valle de aburr'!$C$26:$C$37</c:f>
              <c:numCache>
                <c:formatCode>0.0</c:formatCode>
                <c:ptCount val="12"/>
                <c:pt idx="0">
                  <c:v>18.765475672797958</c:v>
                </c:pt>
                <c:pt idx="1">
                  <c:v>29.329711657390224</c:v>
                </c:pt>
                <c:pt idx="2">
                  <c:v>30.796159754224274</c:v>
                </c:pt>
                <c:pt idx="3">
                  <c:v>18.589430014430018</c:v>
                </c:pt>
                <c:pt idx="4">
                  <c:v>16.013021924312252</c:v>
                </c:pt>
                <c:pt idx="5">
                  <c:v>13.233050144300147</c:v>
                </c:pt>
                <c:pt idx="6">
                  <c:v>13.232411492201111</c:v>
                </c:pt>
                <c:pt idx="7">
                  <c:v>20.073392485261348</c:v>
                </c:pt>
                <c:pt idx="8">
                  <c:v>15.299481163382769</c:v>
                </c:pt>
                <c:pt idx="9">
                  <c:v>14.919964177944539</c:v>
                </c:pt>
                <c:pt idx="10">
                  <c:v>16.684220559633605</c:v>
                </c:pt>
                <c:pt idx="11">
                  <c:v>16.361244603923424</c:v>
                </c:pt>
              </c:numCache>
            </c:numRef>
          </c:val>
          <c:smooth val="0"/>
          <c:extLst>
            <c:ext xmlns:c16="http://schemas.microsoft.com/office/drawing/2014/chart" uri="{C3380CC4-5D6E-409C-BE32-E72D297353CC}">
              <c16:uniqueId val="{00000002-5742-45C4-A914-FF36ACC69A93}"/>
            </c:ext>
          </c:extLst>
        </c:ser>
        <c:dLbls>
          <c:showLegendKey val="0"/>
          <c:showVal val="0"/>
          <c:showCatName val="0"/>
          <c:showSerName val="0"/>
          <c:showPercent val="0"/>
          <c:showBubbleSize val="0"/>
        </c:dLbls>
        <c:smooth val="0"/>
        <c:axId val="1266302111"/>
        <c:axId val="1266285887"/>
      </c:lineChart>
      <c:catAx>
        <c:axId val="12663021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Mes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66285887"/>
        <c:crosses val="autoZero"/>
        <c:auto val="1"/>
        <c:lblAlgn val="ctr"/>
        <c:lblOffset val="100"/>
        <c:noMultiLvlLbl val="0"/>
      </c:catAx>
      <c:valAx>
        <c:axId val="12662858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Promedio</a:t>
                </a:r>
                <a:r>
                  <a:rPr lang="es-CO" baseline="0"/>
                  <a:t> µm/m</a:t>
                </a:r>
                <a:r>
                  <a:rPr lang="es-CO" baseline="30000"/>
                  <a:t>3</a:t>
                </a:r>
                <a:endParaRPr lang="es-CO" baseline="0"/>
              </a:p>
            </c:rich>
          </c:tx>
          <c:layout>
            <c:manualLayout>
              <c:xMode val="edge"/>
              <c:yMode val="edge"/>
              <c:x val="1.8707615558500274E-2"/>
              <c:y val="0.2216927416597105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6630211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2017</c:v>
          </c:tx>
          <c:spPr>
            <a:ln w="28575" cap="rnd">
              <a:solidFill>
                <a:schemeClr val="accent1"/>
              </a:solidFill>
              <a:round/>
            </a:ln>
            <a:effectLst/>
          </c:spPr>
          <c:marker>
            <c:symbol val="none"/>
          </c:marker>
          <c:cat>
            <c:strRef>
              <c:f>'Linea del tiempo por municipio'!$B$2:$B$13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Diario!$N$2:$N$13</c:f>
              <c:numCache>
                <c:formatCode>General</c:formatCode>
                <c:ptCount val="12"/>
                <c:pt idx="0">
                  <c:v>12</c:v>
                </c:pt>
                <c:pt idx="1">
                  <c:v>20</c:v>
                </c:pt>
                <c:pt idx="2">
                  <c:v>24</c:v>
                </c:pt>
                <c:pt idx="3">
                  <c:v>13</c:v>
                </c:pt>
                <c:pt idx="4">
                  <c:v>6</c:v>
                </c:pt>
                <c:pt idx="5">
                  <c:v>1</c:v>
                </c:pt>
                <c:pt idx="6">
                  <c:v>5</c:v>
                </c:pt>
                <c:pt idx="7">
                  <c:v>5</c:v>
                </c:pt>
                <c:pt idx="8">
                  <c:v>9</c:v>
                </c:pt>
                <c:pt idx="9">
                  <c:v>6</c:v>
                </c:pt>
                <c:pt idx="10">
                  <c:v>4</c:v>
                </c:pt>
                <c:pt idx="11">
                  <c:v>1</c:v>
                </c:pt>
              </c:numCache>
            </c:numRef>
          </c:val>
          <c:smooth val="0"/>
          <c:extLst>
            <c:ext xmlns:c16="http://schemas.microsoft.com/office/drawing/2014/chart" uri="{C3380CC4-5D6E-409C-BE32-E72D297353CC}">
              <c16:uniqueId val="{00000000-EFED-4395-AA44-9BB3AB50117E}"/>
            </c:ext>
          </c:extLst>
        </c:ser>
        <c:ser>
          <c:idx val="1"/>
          <c:order val="1"/>
          <c:tx>
            <c:v>2018</c:v>
          </c:tx>
          <c:spPr>
            <a:ln w="28575" cap="rnd">
              <a:solidFill>
                <a:schemeClr val="accent2"/>
              </a:solidFill>
              <a:round/>
            </a:ln>
            <a:effectLst/>
          </c:spPr>
          <c:marker>
            <c:symbol val="none"/>
          </c:marker>
          <c:val>
            <c:numRef>
              <c:f>Diario!$N$14:$N$25</c:f>
              <c:numCache>
                <c:formatCode>General</c:formatCode>
                <c:ptCount val="12"/>
                <c:pt idx="0">
                  <c:v>2</c:v>
                </c:pt>
                <c:pt idx="1">
                  <c:v>24</c:v>
                </c:pt>
                <c:pt idx="2">
                  <c:v>24</c:v>
                </c:pt>
                <c:pt idx="3">
                  <c:v>1</c:v>
                </c:pt>
                <c:pt idx="4">
                  <c:v>0</c:v>
                </c:pt>
                <c:pt idx="5">
                  <c:v>0</c:v>
                </c:pt>
                <c:pt idx="6">
                  <c:v>0</c:v>
                </c:pt>
                <c:pt idx="7">
                  <c:v>0</c:v>
                </c:pt>
                <c:pt idx="8">
                  <c:v>1</c:v>
                </c:pt>
                <c:pt idx="9">
                  <c:v>2</c:v>
                </c:pt>
                <c:pt idx="10">
                  <c:v>0</c:v>
                </c:pt>
                <c:pt idx="11">
                  <c:v>0</c:v>
                </c:pt>
              </c:numCache>
            </c:numRef>
          </c:val>
          <c:smooth val="0"/>
          <c:extLst>
            <c:ext xmlns:c16="http://schemas.microsoft.com/office/drawing/2014/chart" uri="{C3380CC4-5D6E-409C-BE32-E72D297353CC}">
              <c16:uniqueId val="{00000001-EFED-4395-AA44-9BB3AB50117E}"/>
            </c:ext>
          </c:extLst>
        </c:ser>
        <c:ser>
          <c:idx val="2"/>
          <c:order val="2"/>
          <c:tx>
            <c:v>2019</c:v>
          </c:tx>
          <c:spPr>
            <a:ln w="28575" cap="rnd">
              <a:solidFill>
                <a:schemeClr val="accent3"/>
              </a:solidFill>
              <a:round/>
            </a:ln>
            <a:effectLst/>
          </c:spPr>
          <c:marker>
            <c:symbol val="none"/>
          </c:marker>
          <c:val>
            <c:numRef>
              <c:f>Diario!$N$26:$N$37</c:f>
              <c:numCache>
                <c:formatCode>General</c:formatCode>
                <c:ptCount val="12"/>
                <c:pt idx="0">
                  <c:v>1</c:v>
                </c:pt>
                <c:pt idx="1">
                  <c:v>22</c:v>
                </c:pt>
                <c:pt idx="2">
                  <c:v>19</c:v>
                </c:pt>
                <c:pt idx="3">
                  <c:v>5</c:v>
                </c:pt>
                <c:pt idx="4">
                  <c:v>0</c:v>
                </c:pt>
                <c:pt idx="5">
                  <c:v>0</c:v>
                </c:pt>
                <c:pt idx="6">
                  <c:v>0</c:v>
                </c:pt>
                <c:pt idx="7">
                  <c:v>5</c:v>
                </c:pt>
                <c:pt idx="8">
                  <c:v>0</c:v>
                </c:pt>
                <c:pt idx="9">
                  <c:v>0</c:v>
                </c:pt>
                <c:pt idx="10">
                  <c:v>0</c:v>
                </c:pt>
                <c:pt idx="11">
                  <c:v>0</c:v>
                </c:pt>
              </c:numCache>
            </c:numRef>
          </c:val>
          <c:smooth val="0"/>
          <c:extLst>
            <c:ext xmlns:c16="http://schemas.microsoft.com/office/drawing/2014/chart" uri="{C3380CC4-5D6E-409C-BE32-E72D297353CC}">
              <c16:uniqueId val="{00000002-EFED-4395-AA44-9BB3AB50117E}"/>
            </c:ext>
          </c:extLst>
        </c:ser>
        <c:dLbls>
          <c:showLegendKey val="0"/>
          <c:showVal val="0"/>
          <c:showCatName val="0"/>
          <c:showSerName val="0"/>
          <c:showPercent val="0"/>
          <c:showBubbleSize val="0"/>
        </c:dLbls>
        <c:smooth val="0"/>
        <c:axId val="1266302111"/>
        <c:axId val="1266285887"/>
      </c:lineChart>
      <c:catAx>
        <c:axId val="12663021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Mes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66285887"/>
        <c:crosses val="autoZero"/>
        <c:auto val="1"/>
        <c:lblAlgn val="ctr"/>
        <c:lblOffset val="100"/>
        <c:noMultiLvlLbl val="0"/>
      </c:catAx>
      <c:valAx>
        <c:axId val="12662858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baseline="0"/>
                  <a:t>Dias sobre el limite de</a:t>
                </a:r>
              </a:p>
              <a:p>
                <a:pPr>
                  <a:defRPr/>
                </a:pPr>
                <a:r>
                  <a:rPr lang="es-CO" baseline="0"/>
                  <a:t> concentracion dePM</a:t>
                </a:r>
                <a:r>
                  <a:rPr lang="es-CO" baseline="-25000"/>
                  <a:t>2.5</a:t>
                </a:r>
                <a:endParaRPr lang="es-CO" baseline="0"/>
              </a:p>
            </c:rich>
          </c:tx>
          <c:layout>
            <c:manualLayout>
              <c:xMode val="edge"/>
              <c:yMode val="edge"/>
              <c:x val="1.3798390187811422E-2"/>
              <c:y val="0.1049868766404199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6630211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'Cajas y Bigotes'!$A$2:$C$361</cx:f>
        <cx:lvl ptCount="360">
          <cx:pt idx="0">Barbosa</cx:pt>
          <cx:pt idx="1">Barbosa</cx:pt>
          <cx:pt idx="2">Barbosa</cx:pt>
          <cx:pt idx="3">Barbosa</cx:pt>
          <cx:pt idx="4">Barbosa</cx:pt>
          <cx:pt idx="5">Barbosa</cx:pt>
          <cx:pt idx="6">Barbosa</cx:pt>
          <cx:pt idx="7">Barbosa</cx:pt>
          <cx:pt idx="8">Barbosa</cx:pt>
          <cx:pt idx="9">Barbosa</cx:pt>
          <cx:pt idx="10">Barbosa</cx:pt>
          <cx:pt idx="11">Barbosa</cx:pt>
          <cx:pt idx="12">Barbosa</cx:pt>
          <cx:pt idx="13">Barbosa</cx:pt>
          <cx:pt idx="14">Barbosa</cx:pt>
          <cx:pt idx="15">Barbosa</cx:pt>
          <cx:pt idx="16">Barbosa</cx:pt>
          <cx:pt idx="17">Barbosa</cx:pt>
          <cx:pt idx="18">Barbosa</cx:pt>
          <cx:pt idx="19">Barbosa</cx:pt>
          <cx:pt idx="20">Barbosa</cx:pt>
          <cx:pt idx="21">Barbosa</cx:pt>
          <cx:pt idx="22">Barbosa</cx:pt>
          <cx:pt idx="23">Barbosa</cx:pt>
          <cx:pt idx="24">Barbosa</cx:pt>
          <cx:pt idx="25">Barbosa</cx:pt>
          <cx:pt idx="26">Barbosa</cx:pt>
          <cx:pt idx="27">Barbosa</cx:pt>
          <cx:pt idx="28">Barbosa</cx:pt>
          <cx:pt idx="29">Barbosa</cx:pt>
          <cx:pt idx="30">Barbosa</cx:pt>
          <cx:pt idx="31">Barbosa</cx:pt>
          <cx:pt idx="32">Barbosa</cx:pt>
          <cx:pt idx="33">Barbosa</cx:pt>
          <cx:pt idx="34">Barbosa</cx:pt>
          <cx:pt idx="35">Barbosa</cx:pt>
          <cx:pt idx="36">Bello</cx:pt>
          <cx:pt idx="37">Bello</cx:pt>
          <cx:pt idx="38">Bello</cx:pt>
          <cx:pt idx="39">Bello</cx:pt>
          <cx:pt idx="40">Bello</cx:pt>
          <cx:pt idx="41">Bello</cx:pt>
          <cx:pt idx="42">Bello</cx:pt>
          <cx:pt idx="43">Bello</cx:pt>
          <cx:pt idx="44">Bello</cx:pt>
          <cx:pt idx="45">Bello</cx:pt>
          <cx:pt idx="46">Bello</cx:pt>
          <cx:pt idx="47">Bello</cx:pt>
          <cx:pt idx="48">Bello</cx:pt>
          <cx:pt idx="49">Bello</cx:pt>
          <cx:pt idx="50">Bello</cx:pt>
          <cx:pt idx="51">Bello</cx:pt>
          <cx:pt idx="52">Bello</cx:pt>
          <cx:pt idx="53">Bello</cx:pt>
          <cx:pt idx="54">Bello</cx:pt>
          <cx:pt idx="55">Bello</cx:pt>
          <cx:pt idx="56">Bello</cx:pt>
          <cx:pt idx="57">Bello</cx:pt>
          <cx:pt idx="58">Bello</cx:pt>
          <cx:pt idx="59">Bello</cx:pt>
          <cx:pt idx="60">Bello</cx:pt>
          <cx:pt idx="61">Bello</cx:pt>
          <cx:pt idx="62">Bello</cx:pt>
          <cx:pt idx="63">Bello</cx:pt>
          <cx:pt idx="64">Bello</cx:pt>
          <cx:pt idx="65">Bello</cx:pt>
          <cx:pt idx="66">Bello</cx:pt>
          <cx:pt idx="67">Bello</cx:pt>
          <cx:pt idx="68">Bello</cx:pt>
          <cx:pt idx="69">Bello</cx:pt>
          <cx:pt idx="70">Bello</cx:pt>
          <cx:pt idx="71">Bello</cx:pt>
          <cx:pt idx="72">Caldas</cx:pt>
          <cx:pt idx="73">Caldas</cx:pt>
          <cx:pt idx="74">Caldas</cx:pt>
          <cx:pt idx="75">Caldas</cx:pt>
          <cx:pt idx="76">Caldas</cx:pt>
          <cx:pt idx="77">Caldas</cx:pt>
          <cx:pt idx="78">Caldas</cx:pt>
          <cx:pt idx="79">Caldas</cx:pt>
          <cx:pt idx="80">Caldas</cx:pt>
          <cx:pt idx="81">Caldas</cx:pt>
          <cx:pt idx="82">Caldas</cx:pt>
          <cx:pt idx="83">Caldas</cx:pt>
          <cx:pt idx="84">Caldas</cx:pt>
          <cx:pt idx="85">Caldas</cx:pt>
          <cx:pt idx="86">Caldas</cx:pt>
          <cx:pt idx="87">Caldas</cx:pt>
          <cx:pt idx="88">Caldas</cx:pt>
          <cx:pt idx="89">Caldas</cx:pt>
          <cx:pt idx="90">Caldas</cx:pt>
          <cx:pt idx="91">Caldas</cx:pt>
          <cx:pt idx="92">Caldas</cx:pt>
          <cx:pt idx="93">Caldas</cx:pt>
          <cx:pt idx="94">Caldas</cx:pt>
          <cx:pt idx="95">Caldas</cx:pt>
          <cx:pt idx="96">Caldas</cx:pt>
          <cx:pt idx="97">Caldas</cx:pt>
          <cx:pt idx="98">Caldas</cx:pt>
          <cx:pt idx="99">Caldas</cx:pt>
          <cx:pt idx="100">Caldas</cx:pt>
          <cx:pt idx="101">Caldas</cx:pt>
          <cx:pt idx="102">Caldas</cx:pt>
          <cx:pt idx="103">Caldas</cx:pt>
          <cx:pt idx="104">Caldas</cx:pt>
          <cx:pt idx="105">Caldas</cx:pt>
          <cx:pt idx="106">Caldas</cx:pt>
          <cx:pt idx="107">Caldas</cx:pt>
          <cx:pt idx="108">Copacabana</cx:pt>
          <cx:pt idx="109">Copacabana</cx:pt>
          <cx:pt idx="110">Copacabana</cx:pt>
          <cx:pt idx="111">Copacabana</cx:pt>
          <cx:pt idx="112">Copacabana</cx:pt>
          <cx:pt idx="113">Copacabana</cx:pt>
          <cx:pt idx="114">Copacabana</cx:pt>
          <cx:pt idx="115">Copacabana</cx:pt>
          <cx:pt idx="116">Copacabana</cx:pt>
          <cx:pt idx="117">Copacabana</cx:pt>
          <cx:pt idx="118">Copacabana</cx:pt>
          <cx:pt idx="119">Copacabana</cx:pt>
          <cx:pt idx="120">Copacabana</cx:pt>
          <cx:pt idx="121">Copacabana</cx:pt>
          <cx:pt idx="122">Copacabana</cx:pt>
          <cx:pt idx="123">Copacabana</cx:pt>
          <cx:pt idx="124">Copacabana</cx:pt>
          <cx:pt idx="125">Copacabana</cx:pt>
          <cx:pt idx="126">Copacabana</cx:pt>
          <cx:pt idx="127">Copacabana</cx:pt>
          <cx:pt idx="128">Copacabana</cx:pt>
          <cx:pt idx="129">Copacabana</cx:pt>
          <cx:pt idx="130">Copacabana</cx:pt>
          <cx:pt idx="131">Copacabana</cx:pt>
          <cx:pt idx="132">Copacabana</cx:pt>
          <cx:pt idx="133">Copacabana</cx:pt>
          <cx:pt idx="134">Copacabana</cx:pt>
          <cx:pt idx="135">Copacabana</cx:pt>
          <cx:pt idx="136">Copacabana</cx:pt>
          <cx:pt idx="137">Copacabana</cx:pt>
          <cx:pt idx="138">Copacabana</cx:pt>
          <cx:pt idx="139">Copacabana</cx:pt>
          <cx:pt idx="140">Copacabana</cx:pt>
          <cx:pt idx="141">Copacabana</cx:pt>
          <cx:pt idx="142">Copacabana</cx:pt>
          <cx:pt idx="143">Copacabana</cx:pt>
          <cx:pt idx="144">Envigado</cx:pt>
          <cx:pt idx="145">Envigado</cx:pt>
          <cx:pt idx="146">Envigado</cx:pt>
          <cx:pt idx="147">Envigado</cx:pt>
          <cx:pt idx="148">Envigado</cx:pt>
          <cx:pt idx="149">Envigado</cx:pt>
          <cx:pt idx="150">Envigado</cx:pt>
          <cx:pt idx="151">Envigado</cx:pt>
          <cx:pt idx="152">Envigado</cx:pt>
          <cx:pt idx="153">Envigado</cx:pt>
          <cx:pt idx="154">Envigado</cx:pt>
          <cx:pt idx="155">Envigado</cx:pt>
          <cx:pt idx="156">Envigado</cx:pt>
          <cx:pt idx="157">Envigado</cx:pt>
          <cx:pt idx="158">Envigado</cx:pt>
          <cx:pt idx="159">Envigado</cx:pt>
          <cx:pt idx="160">Envigado</cx:pt>
          <cx:pt idx="161">Envigado</cx:pt>
          <cx:pt idx="162">Envigado</cx:pt>
          <cx:pt idx="163">Envigado</cx:pt>
          <cx:pt idx="164">Envigado</cx:pt>
          <cx:pt idx="165">Envigado</cx:pt>
          <cx:pt idx="166">Envigado</cx:pt>
          <cx:pt idx="167">Envigado</cx:pt>
          <cx:pt idx="168">Envigado</cx:pt>
          <cx:pt idx="169">Envigado</cx:pt>
          <cx:pt idx="170">Envigado</cx:pt>
          <cx:pt idx="171">Envigado</cx:pt>
          <cx:pt idx="172">Envigado</cx:pt>
          <cx:pt idx="173">Envigado</cx:pt>
          <cx:pt idx="174">Envigado</cx:pt>
          <cx:pt idx="175">Envigado</cx:pt>
          <cx:pt idx="176">Envigado</cx:pt>
          <cx:pt idx="177">Envigado</cx:pt>
          <cx:pt idx="178">Envigado</cx:pt>
          <cx:pt idx="179">Envigado</cx:pt>
          <cx:pt idx="180">Girardota</cx:pt>
          <cx:pt idx="181">Girardota</cx:pt>
          <cx:pt idx="182">Girardota</cx:pt>
          <cx:pt idx="183">Girardota</cx:pt>
          <cx:pt idx="184">Girardota</cx:pt>
          <cx:pt idx="185">Girardota</cx:pt>
          <cx:pt idx="186">Girardota</cx:pt>
          <cx:pt idx="187">Girardota</cx:pt>
          <cx:pt idx="188">Girardota</cx:pt>
          <cx:pt idx="189">Girardota</cx:pt>
          <cx:pt idx="190">Girardota</cx:pt>
          <cx:pt idx="191">Girardota</cx:pt>
          <cx:pt idx="192">Girardota</cx:pt>
          <cx:pt idx="193">Girardota</cx:pt>
          <cx:pt idx="194">Girardota</cx:pt>
          <cx:pt idx="195">Girardota</cx:pt>
          <cx:pt idx="196">Girardota</cx:pt>
          <cx:pt idx="197">Girardota</cx:pt>
          <cx:pt idx="198">Girardota</cx:pt>
          <cx:pt idx="199">Girardota</cx:pt>
          <cx:pt idx="200">Girardota</cx:pt>
          <cx:pt idx="201">Girardota</cx:pt>
          <cx:pt idx="202">Girardota</cx:pt>
          <cx:pt idx="203">Girardota</cx:pt>
          <cx:pt idx="204">Girardota</cx:pt>
          <cx:pt idx="205">Girardota</cx:pt>
          <cx:pt idx="206">Girardota</cx:pt>
          <cx:pt idx="207">Girardota</cx:pt>
          <cx:pt idx="208">Girardota</cx:pt>
          <cx:pt idx="209">Girardota</cx:pt>
          <cx:pt idx="210">Girardota</cx:pt>
          <cx:pt idx="211">Girardota</cx:pt>
          <cx:pt idx="212">Girardota</cx:pt>
          <cx:pt idx="213">Girardota</cx:pt>
          <cx:pt idx="214">Girardota</cx:pt>
          <cx:pt idx="215">Girardota</cx:pt>
          <cx:pt idx="216">Itagui</cx:pt>
          <cx:pt idx="217">Itagui</cx:pt>
          <cx:pt idx="218">Itagui</cx:pt>
          <cx:pt idx="219">Itagui</cx:pt>
          <cx:pt idx="220">Itagui</cx:pt>
          <cx:pt idx="221">Itagui</cx:pt>
          <cx:pt idx="222">Itagui</cx:pt>
          <cx:pt idx="223">Itagui</cx:pt>
          <cx:pt idx="224">Itagui</cx:pt>
          <cx:pt idx="225">Itagui</cx:pt>
          <cx:pt idx="226">Itagui</cx:pt>
          <cx:pt idx="227">Itagui</cx:pt>
          <cx:pt idx="228">Itagui</cx:pt>
          <cx:pt idx="229">Itagui</cx:pt>
          <cx:pt idx="230">Itagui</cx:pt>
          <cx:pt idx="231">Itagui</cx:pt>
          <cx:pt idx="232">Itagui</cx:pt>
          <cx:pt idx="233">Itagui</cx:pt>
          <cx:pt idx="234">Itagui</cx:pt>
          <cx:pt idx="235">Itagui</cx:pt>
          <cx:pt idx="236">Itagui</cx:pt>
          <cx:pt idx="237">Itagui</cx:pt>
          <cx:pt idx="238">Itagui</cx:pt>
          <cx:pt idx="239">Itagui</cx:pt>
          <cx:pt idx="240">Itagui</cx:pt>
          <cx:pt idx="241">Itagui</cx:pt>
          <cx:pt idx="242">Itagui</cx:pt>
          <cx:pt idx="243">Itagui</cx:pt>
          <cx:pt idx="244">Itagui</cx:pt>
          <cx:pt idx="245">Itagui</cx:pt>
          <cx:pt idx="246">Itagui</cx:pt>
          <cx:pt idx="247">Itagui</cx:pt>
          <cx:pt idx="248">Itagui</cx:pt>
          <cx:pt idx="249">Itagui</cx:pt>
          <cx:pt idx="250">Itagui</cx:pt>
          <cx:pt idx="251">Itagui</cx:pt>
          <cx:pt idx="252">La estrella</cx:pt>
          <cx:pt idx="253">La estrella</cx:pt>
          <cx:pt idx="254">La estrella</cx:pt>
          <cx:pt idx="255">La estrella</cx:pt>
          <cx:pt idx="256">La estrella</cx:pt>
          <cx:pt idx="257">La estrella</cx:pt>
          <cx:pt idx="258">La estrella</cx:pt>
          <cx:pt idx="259">La estrella</cx:pt>
          <cx:pt idx="260">La estrella</cx:pt>
          <cx:pt idx="261">La estrella</cx:pt>
          <cx:pt idx="262">La estrella</cx:pt>
          <cx:pt idx="263">La estrella</cx:pt>
          <cx:pt idx="264">La estrella</cx:pt>
          <cx:pt idx="265">La estrella</cx:pt>
          <cx:pt idx="266">La estrella</cx:pt>
          <cx:pt idx="267">La estrella</cx:pt>
          <cx:pt idx="268">La estrella</cx:pt>
          <cx:pt idx="269">La estrella</cx:pt>
          <cx:pt idx="270">La estrella</cx:pt>
          <cx:pt idx="271">La estrella</cx:pt>
          <cx:pt idx="272">La estrella</cx:pt>
          <cx:pt idx="273">La estrella</cx:pt>
          <cx:pt idx="274">La estrella</cx:pt>
          <cx:pt idx="275">La estrella</cx:pt>
          <cx:pt idx="276">La estrella</cx:pt>
          <cx:pt idx="277">La estrella</cx:pt>
          <cx:pt idx="278">La estrella</cx:pt>
          <cx:pt idx="279">La estrella</cx:pt>
          <cx:pt idx="280">La estrella</cx:pt>
          <cx:pt idx="281">La estrella</cx:pt>
          <cx:pt idx="282">La estrella</cx:pt>
          <cx:pt idx="283">La estrella</cx:pt>
          <cx:pt idx="284">La estrella</cx:pt>
          <cx:pt idx="285">La estrella</cx:pt>
          <cx:pt idx="286">La estrella</cx:pt>
          <cx:pt idx="287">La estrella</cx:pt>
          <cx:pt idx="288">Medellin</cx:pt>
          <cx:pt idx="289">Medellin</cx:pt>
          <cx:pt idx="290">Medellin</cx:pt>
          <cx:pt idx="291">Medellin</cx:pt>
          <cx:pt idx="292">Medellin</cx:pt>
          <cx:pt idx="293">Medellin</cx:pt>
          <cx:pt idx="294">Medellin</cx:pt>
          <cx:pt idx="295">Medellin</cx:pt>
          <cx:pt idx="296">Medellin</cx:pt>
          <cx:pt idx="297">Medellin</cx:pt>
          <cx:pt idx="298">Medellin</cx:pt>
          <cx:pt idx="299">Medellin</cx:pt>
          <cx:pt idx="300">Medellin</cx:pt>
          <cx:pt idx="301">Medellin</cx:pt>
          <cx:pt idx="302">Medellin</cx:pt>
          <cx:pt idx="303">Medellin</cx:pt>
          <cx:pt idx="304">Medellin</cx:pt>
          <cx:pt idx="305">Medellin</cx:pt>
          <cx:pt idx="306">Medellin</cx:pt>
          <cx:pt idx="307">Medellin</cx:pt>
          <cx:pt idx="308">Medellin</cx:pt>
          <cx:pt idx="309">Medellin</cx:pt>
          <cx:pt idx="310">Medellin</cx:pt>
          <cx:pt idx="311">Medellin</cx:pt>
          <cx:pt idx="312">Medellin</cx:pt>
          <cx:pt idx="313">Medellin</cx:pt>
          <cx:pt idx="314">Medellin</cx:pt>
          <cx:pt idx="315">Medellin</cx:pt>
          <cx:pt idx="316">Medellin</cx:pt>
          <cx:pt idx="317">Medellin</cx:pt>
          <cx:pt idx="318">Medellin</cx:pt>
          <cx:pt idx="319">Medellin</cx:pt>
          <cx:pt idx="320">Medellin</cx:pt>
          <cx:pt idx="321">Medellin</cx:pt>
          <cx:pt idx="322">Medellin</cx:pt>
          <cx:pt idx="323">Medellin</cx:pt>
          <cx:pt idx="324">Sabaneta</cx:pt>
          <cx:pt idx="325">Sabaneta</cx:pt>
          <cx:pt idx="326">Sabaneta</cx:pt>
          <cx:pt idx="327">Sabaneta</cx:pt>
          <cx:pt idx="328">Sabaneta</cx:pt>
          <cx:pt idx="329">Sabaneta</cx:pt>
          <cx:pt idx="330">Sabaneta</cx:pt>
          <cx:pt idx="331">Sabaneta</cx:pt>
          <cx:pt idx="332">Sabaneta</cx:pt>
          <cx:pt idx="333">Sabaneta</cx:pt>
          <cx:pt idx="334">Sabaneta</cx:pt>
          <cx:pt idx="335">Sabaneta</cx:pt>
          <cx:pt idx="336">Sabaneta</cx:pt>
          <cx:pt idx="337">Sabaneta</cx:pt>
          <cx:pt idx="338">Sabaneta</cx:pt>
          <cx:pt idx="339">Sabaneta</cx:pt>
          <cx:pt idx="340">Sabaneta</cx:pt>
          <cx:pt idx="341">Sabaneta</cx:pt>
          <cx:pt idx="342">Sabaneta</cx:pt>
          <cx:pt idx="343">Sabaneta</cx:pt>
          <cx:pt idx="344">Sabaneta</cx:pt>
          <cx:pt idx="345">Sabaneta</cx:pt>
          <cx:pt idx="346">Sabaneta</cx:pt>
          <cx:pt idx="347">Sabaneta</cx:pt>
          <cx:pt idx="348">Sabaneta</cx:pt>
          <cx:pt idx="349">Sabaneta</cx:pt>
          <cx:pt idx="350">Sabaneta</cx:pt>
          <cx:pt idx="351">Sabaneta</cx:pt>
          <cx:pt idx="352">Sabaneta</cx:pt>
          <cx:pt idx="353">Sabaneta</cx:pt>
          <cx:pt idx="354">Sabaneta</cx:pt>
          <cx:pt idx="355">Sabaneta</cx:pt>
          <cx:pt idx="356">Sabaneta</cx:pt>
          <cx:pt idx="357">Sabaneta</cx:pt>
          <cx:pt idx="358">Sabaneta</cx:pt>
          <cx:pt idx="359">Sabaneta</cx:pt>
        </cx:lvl>
        <cx:lvl ptCount="360">
          <cx:pt idx="0">ENERO</cx:pt>
          <cx:pt idx="1">FEBRERO</cx:pt>
          <cx:pt idx="2">MARZO</cx:pt>
          <cx:pt idx="3">ABRIL</cx:pt>
          <cx:pt idx="4">MAYO</cx:pt>
          <cx:pt idx="5">JUNIO</cx:pt>
          <cx:pt idx="6">JULIO</cx:pt>
          <cx:pt idx="7">AGOSTO</cx:pt>
          <cx:pt idx="8">SEPTIEMBRE</cx:pt>
          <cx:pt idx="9">OCTUBRE</cx:pt>
          <cx:pt idx="10">NOVIEMBRE</cx:pt>
          <cx:pt idx="11">DICIEMBRE</cx:pt>
          <cx:pt idx="12">ENERO</cx:pt>
          <cx:pt idx="13">FEBRERO</cx:pt>
          <cx:pt idx="14">MARZO</cx:pt>
          <cx:pt idx="15">ABRIL</cx:pt>
          <cx:pt idx="16">MAYO</cx:pt>
          <cx:pt idx="17">JUNIO</cx:pt>
          <cx:pt idx="18">JULIO</cx:pt>
          <cx:pt idx="19">AGOSTO</cx:pt>
          <cx:pt idx="20">SEPTIEMBRE</cx:pt>
          <cx:pt idx="21">OCTUBRE</cx:pt>
          <cx:pt idx="22">NOVIEMBRE</cx:pt>
          <cx:pt idx="23">DICIEMBRE</cx:pt>
          <cx:pt idx="24">ENERO</cx:pt>
          <cx:pt idx="25">FEBRERO</cx:pt>
          <cx:pt idx="26">MARZO</cx:pt>
          <cx:pt idx="27">ABRIL</cx:pt>
          <cx:pt idx="28">MAYO</cx:pt>
          <cx:pt idx="29">JUNIO</cx:pt>
          <cx:pt idx="30">JULIO</cx:pt>
          <cx:pt idx="31">AGOSTO</cx:pt>
          <cx:pt idx="32">SEPTIEMBRE</cx:pt>
          <cx:pt idx="33">OCTUBRE</cx:pt>
          <cx:pt idx="34">NOVIEMBRE</cx:pt>
          <cx:pt idx="35">DICIEMBRE</cx:pt>
          <cx:pt idx="36">ENERO</cx:pt>
          <cx:pt idx="37">FEBRERO</cx:pt>
          <cx:pt idx="38">MARZO</cx:pt>
          <cx:pt idx="39">ABRIL</cx:pt>
          <cx:pt idx="40">MAYO</cx:pt>
          <cx:pt idx="41">JUNIO</cx:pt>
          <cx:pt idx="42">JULIO</cx:pt>
          <cx:pt idx="43">AGOSTO</cx:pt>
          <cx:pt idx="44">SEPTIEMBRE</cx:pt>
          <cx:pt idx="45">OCTUBRE</cx:pt>
          <cx:pt idx="46">NOVIEMBRE</cx:pt>
          <cx:pt idx="47">DICIEMBRE</cx:pt>
          <cx:pt idx="48">ENERO</cx:pt>
          <cx:pt idx="49">FEBRERO</cx:pt>
          <cx:pt idx="50">MARZO</cx:pt>
          <cx:pt idx="51">ABRIL</cx:pt>
          <cx:pt idx="52">MAYO</cx:pt>
          <cx:pt idx="53">JUNIO</cx:pt>
          <cx:pt idx="54">JULIO</cx:pt>
          <cx:pt idx="55">AGOSTO</cx:pt>
          <cx:pt idx="56">SEPTIEMBRE</cx:pt>
          <cx:pt idx="57">OCTUBRE</cx:pt>
          <cx:pt idx="58">NOVIEMBRE</cx:pt>
          <cx:pt idx="59">DICIEMBRE</cx:pt>
          <cx:pt idx="60">ENERO</cx:pt>
          <cx:pt idx="61">FEBRERO</cx:pt>
          <cx:pt idx="62">MARZO</cx:pt>
          <cx:pt idx="63">ABRIL</cx:pt>
          <cx:pt idx="64">MAYO</cx:pt>
          <cx:pt idx="65">JUNIO</cx:pt>
          <cx:pt idx="66">JULIO</cx:pt>
          <cx:pt idx="67">AGOSTO</cx:pt>
          <cx:pt idx="68">SEPTIEMBRE</cx:pt>
          <cx:pt idx="69">OCTUBRE</cx:pt>
          <cx:pt idx="70">NOVIEMBRE</cx:pt>
          <cx:pt idx="71">DICIEMBRE</cx:pt>
          <cx:pt idx="72">ENERO</cx:pt>
          <cx:pt idx="73">FEBRERO</cx:pt>
          <cx:pt idx="74">MARZO</cx:pt>
          <cx:pt idx="75">ABRIL</cx:pt>
          <cx:pt idx="76">MAYO</cx:pt>
          <cx:pt idx="77">JUNIO</cx:pt>
          <cx:pt idx="78">JULIO</cx:pt>
          <cx:pt idx="79">AGOSTO</cx:pt>
          <cx:pt idx="80">SEPTIEMBRE</cx:pt>
          <cx:pt idx="81">OCTUBRE</cx:pt>
          <cx:pt idx="82">NOVIEMBRE</cx:pt>
          <cx:pt idx="83">DICIEMBRE</cx:pt>
          <cx:pt idx="84">ENERO</cx:pt>
          <cx:pt idx="85">FEBRERO</cx:pt>
          <cx:pt idx="86">MARZO</cx:pt>
          <cx:pt idx="87">ABRIL</cx:pt>
          <cx:pt idx="88">MAYO</cx:pt>
          <cx:pt idx="89">JUNIO</cx:pt>
          <cx:pt idx="90">JULIO</cx:pt>
          <cx:pt idx="91">AGOSTO</cx:pt>
          <cx:pt idx="92">SEPTIEMBRE</cx:pt>
          <cx:pt idx="93">OCTUBRE</cx:pt>
          <cx:pt idx="94">NOVIEMBRE</cx:pt>
          <cx:pt idx="95">DICIEMBRE</cx:pt>
          <cx:pt idx="96">ENERO</cx:pt>
          <cx:pt idx="97">FEBRERO</cx:pt>
          <cx:pt idx="98">MARZO</cx:pt>
          <cx:pt idx="99">ABRIL</cx:pt>
          <cx:pt idx="100">MAYO</cx:pt>
          <cx:pt idx="101">JUNIO</cx:pt>
          <cx:pt idx="102">JULIO</cx:pt>
          <cx:pt idx="103">AGOSTO</cx:pt>
          <cx:pt idx="104">SEPTIEMBRE</cx:pt>
          <cx:pt idx="105">OCTUBRE</cx:pt>
          <cx:pt idx="106">NOVIEMBRE</cx:pt>
          <cx:pt idx="107">DICIEMBRE</cx:pt>
          <cx:pt idx="108">ENERO</cx:pt>
          <cx:pt idx="109">FEBRERO</cx:pt>
          <cx:pt idx="110">MARZO</cx:pt>
          <cx:pt idx="111">ABRIL</cx:pt>
          <cx:pt idx="112">MAYO</cx:pt>
          <cx:pt idx="113">JUNIO</cx:pt>
          <cx:pt idx="114">JULIO</cx:pt>
          <cx:pt idx="115">AGOSTO</cx:pt>
          <cx:pt idx="116">SEPTIEMBRE</cx:pt>
          <cx:pt idx="117">OCTUBRE</cx:pt>
          <cx:pt idx="118">NOVIEMBRE</cx:pt>
          <cx:pt idx="119">DICIEMBRE</cx:pt>
          <cx:pt idx="120">ENERO</cx:pt>
          <cx:pt idx="121">FEBRERO</cx:pt>
          <cx:pt idx="122">MARZO</cx:pt>
          <cx:pt idx="123">ABRIL</cx:pt>
          <cx:pt idx="124">MAYO</cx:pt>
          <cx:pt idx="125">JUNIO</cx:pt>
          <cx:pt idx="126">JULIO</cx:pt>
          <cx:pt idx="127">AGOSTO</cx:pt>
          <cx:pt idx="128">SEPTIEMBRE</cx:pt>
          <cx:pt idx="129">OCTUBRE</cx:pt>
          <cx:pt idx="130">NOVIEMBRE</cx:pt>
          <cx:pt idx="131">DICIEMBRE</cx:pt>
          <cx:pt idx="132">ENERO</cx:pt>
          <cx:pt idx="133">FEBRERO</cx:pt>
          <cx:pt idx="134">MARZO</cx:pt>
          <cx:pt idx="135">ABRIL</cx:pt>
          <cx:pt idx="136">MAYO</cx:pt>
          <cx:pt idx="137">JUNIO</cx:pt>
          <cx:pt idx="138">JULIO</cx:pt>
          <cx:pt idx="139">AGOSTO</cx:pt>
          <cx:pt idx="140">SEPTIEMBRE</cx:pt>
          <cx:pt idx="141">OCTUBRE</cx:pt>
          <cx:pt idx="142">NOVIEMBRE</cx:pt>
          <cx:pt idx="143">DICIEMBRE</cx:pt>
          <cx:pt idx="144">ENERO</cx:pt>
          <cx:pt idx="145">FEBRERO</cx:pt>
          <cx:pt idx="146">MARZO</cx:pt>
          <cx:pt idx="147">ABRIL</cx:pt>
          <cx:pt idx="148">MAYO</cx:pt>
          <cx:pt idx="149">JUNIO</cx:pt>
          <cx:pt idx="150">JULIO</cx:pt>
          <cx:pt idx="151">AGOSTO</cx:pt>
          <cx:pt idx="152">SEPTIEMBRE</cx:pt>
          <cx:pt idx="153">OCTUBRE</cx:pt>
          <cx:pt idx="154">NOVIEMBRE</cx:pt>
          <cx:pt idx="155">DICIEMBRE</cx:pt>
          <cx:pt idx="156">ENERO</cx:pt>
          <cx:pt idx="157">FEBRERO</cx:pt>
          <cx:pt idx="158">MARZO</cx:pt>
          <cx:pt idx="159">ABRIL</cx:pt>
          <cx:pt idx="160">MAYO</cx:pt>
          <cx:pt idx="161">JUNIO</cx:pt>
          <cx:pt idx="162">JULIO</cx:pt>
          <cx:pt idx="163">AGOSTO</cx:pt>
          <cx:pt idx="164">SEPTIEMBRE</cx:pt>
          <cx:pt idx="165">OCTUBRE</cx:pt>
          <cx:pt idx="166">NOVIEMBRE</cx:pt>
          <cx:pt idx="167">DICIEMBRE</cx:pt>
          <cx:pt idx="168">ENERO</cx:pt>
          <cx:pt idx="169">FEBRERO</cx:pt>
          <cx:pt idx="170">MARZO</cx:pt>
          <cx:pt idx="171">ABRIL</cx:pt>
          <cx:pt idx="172">MAYO</cx:pt>
          <cx:pt idx="173">JUNIO</cx:pt>
          <cx:pt idx="174">JULIO</cx:pt>
          <cx:pt idx="175">AGOSTO</cx:pt>
          <cx:pt idx="176">SEPTIEMBRE</cx:pt>
          <cx:pt idx="177">OCTUBRE</cx:pt>
          <cx:pt idx="178">NOVIEMBRE</cx:pt>
          <cx:pt idx="179">DICIEMBRE</cx:pt>
          <cx:pt idx="180">ENERO</cx:pt>
          <cx:pt idx="181">FEBRERO</cx:pt>
          <cx:pt idx="182">MARZO</cx:pt>
          <cx:pt idx="183">ABRIL</cx:pt>
          <cx:pt idx="184">MAYO</cx:pt>
          <cx:pt idx="185">JUNIO</cx:pt>
          <cx:pt idx="186">JULIO</cx:pt>
          <cx:pt idx="187">AGOSTO</cx:pt>
          <cx:pt idx="188">SEPTIEMBRE</cx:pt>
          <cx:pt idx="189">OCTUBRE</cx:pt>
          <cx:pt idx="190">NOVIEMBRE</cx:pt>
          <cx:pt idx="191">DICIEMBRE</cx:pt>
          <cx:pt idx="192">ENERO</cx:pt>
          <cx:pt idx="193">FEBRERO</cx:pt>
          <cx:pt idx="194">MARZO</cx:pt>
          <cx:pt idx="195">ABRIL</cx:pt>
          <cx:pt idx="196">MAYO</cx:pt>
          <cx:pt idx="197">JUNIO</cx:pt>
          <cx:pt idx="198">JULIO</cx:pt>
          <cx:pt idx="199">AGOSTO</cx:pt>
          <cx:pt idx="200">SEPTIEMBRE</cx:pt>
          <cx:pt idx="201">OCTUBRE</cx:pt>
          <cx:pt idx="202">NOVIEMBRE</cx:pt>
          <cx:pt idx="203">DICIEMBRE</cx:pt>
          <cx:pt idx="204">ENERO</cx:pt>
          <cx:pt idx="205">FEBRERO</cx:pt>
          <cx:pt idx="206">MARZO</cx:pt>
          <cx:pt idx="207">ABRIL</cx:pt>
          <cx:pt idx="208">MAYO</cx:pt>
          <cx:pt idx="209">JUNIO</cx:pt>
          <cx:pt idx="210">JULIO</cx:pt>
          <cx:pt idx="211">AGOSTO</cx:pt>
          <cx:pt idx="212">SEPTIEMBRE</cx:pt>
          <cx:pt idx="213">OCTUBRE</cx:pt>
          <cx:pt idx="214">NOVIEMBRE</cx:pt>
          <cx:pt idx="215">DICIEMBRE</cx:pt>
          <cx:pt idx="216">ENERO</cx:pt>
          <cx:pt idx="217">FEBRERO</cx:pt>
          <cx:pt idx="218">MARZO</cx:pt>
          <cx:pt idx="219">ABRIL</cx:pt>
          <cx:pt idx="220">MAYO</cx:pt>
          <cx:pt idx="221">JUNIO</cx:pt>
          <cx:pt idx="222">JULIO</cx:pt>
          <cx:pt idx="223">AGOSTO</cx:pt>
          <cx:pt idx="224">SEPTIEMBRE</cx:pt>
          <cx:pt idx="225">OCTUBRE</cx:pt>
          <cx:pt idx="226">NOVIEMBRE</cx:pt>
          <cx:pt idx="227">DICIEMBRE</cx:pt>
          <cx:pt idx="228">ENERO</cx:pt>
          <cx:pt idx="229">FEBRERO</cx:pt>
          <cx:pt idx="230">MARZO</cx:pt>
          <cx:pt idx="231">ABRIL</cx:pt>
          <cx:pt idx="232">MAYO</cx:pt>
          <cx:pt idx="233">JUNIO</cx:pt>
          <cx:pt idx="234">JULIO</cx:pt>
          <cx:pt idx="235">AGOSTO</cx:pt>
          <cx:pt idx="236">SEPTIEMBRE</cx:pt>
          <cx:pt idx="237">OCTUBRE</cx:pt>
          <cx:pt idx="238">NOVIEMBRE</cx:pt>
          <cx:pt idx="239">DICIEMBRE</cx:pt>
          <cx:pt idx="240">ENERO</cx:pt>
          <cx:pt idx="241">FEBRERO</cx:pt>
          <cx:pt idx="242">MARZO</cx:pt>
          <cx:pt idx="243">ABRIL</cx:pt>
          <cx:pt idx="244">MAYO</cx:pt>
          <cx:pt idx="245">JUNIO</cx:pt>
          <cx:pt idx="246">JULIO</cx:pt>
          <cx:pt idx="247">AGOSTO</cx:pt>
          <cx:pt idx="248">SEPTIEMBRE</cx:pt>
          <cx:pt idx="249">OCTUBRE</cx:pt>
          <cx:pt idx="250">NOVIEMBRE</cx:pt>
          <cx:pt idx="251">DICIEMBRE</cx:pt>
          <cx:pt idx="252">ENERO</cx:pt>
          <cx:pt idx="253">FEBRERO</cx:pt>
          <cx:pt idx="254">MARZO</cx:pt>
          <cx:pt idx="255">ABRIL</cx:pt>
          <cx:pt idx="256">MAYO</cx:pt>
          <cx:pt idx="257">JUNIO</cx:pt>
          <cx:pt idx="258">JULIO</cx:pt>
          <cx:pt idx="259">AGOSTO</cx:pt>
          <cx:pt idx="260">SEPTIEMBRE</cx:pt>
          <cx:pt idx="261">OCTUBRE</cx:pt>
          <cx:pt idx="262">NOVIEMBRE</cx:pt>
          <cx:pt idx="263">DICIEMBRE</cx:pt>
          <cx:pt idx="264">ENERO</cx:pt>
          <cx:pt idx="265">FEBRERO</cx:pt>
          <cx:pt idx="266">MARZO</cx:pt>
          <cx:pt idx="267">ABRIL</cx:pt>
          <cx:pt idx="268">MAYO</cx:pt>
          <cx:pt idx="269">JUNIO</cx:pt>
          <cx:pt idx="270">JULIO</cx:pt>
          <cx:pt idx="271">AGOSTO</cx:pt>
          <cx:pt idx="272">SEPTIEMBRE</cx:pt>
          <cx:pt idx="273">OCTUBRE</cx:pt>
          <cx:pt idx="274">NOVIEMBRE</cx:pt>
          <cx:pt idx="275">DICIEMBRE</cx:pt>
          <cx:pt idx="276">ENERO</cx:pt>
          <cx:pt idx="277">FEBRERO</cx:pt>
          <cx:pt idx="278">MARZO</cx:pt>
          <cx:pt idx="279">ABRIL</cx:pt>
          <cx:pt idx="280">MAYO</cx:pt>
          <cx:pt idx="281">JUNIO</cx:pt>
          <cx:pt idx="282">JULIO</cx:pt>
          <cx:pt idx="283">AGOSTO</cx:pt>
          <cx:pt idx="284">SEPTIEMBRE</cx:pt>
          <cx:pt idx="285">OCTUBRE</cx:pt>
          <cx:pt idx="286">NOVIEMBRE</cx:pt>
          <cx:pt idx="287">DICIEMBRE</cx:pt>
          <cx:pt idx="288">ENERO</cx:pt>
          <cx:pt idx="289">FEBRERO</cx:pt>
          <cx:pt idx="290">MARZO</cx:pt>
          <cx:pt idx="291">ABRIL</cx:pt>
          <cx:pt idx="292">MAYO</cx:pt>
          <cx:pt idx="293">JUNIO</cx:pt>
          <cx:pt idx="294">JULIO</cx:pt>
          <cx:pt idx="295">AGOSTO</cx:pt>
          <cx:pt idx="296">SEPTIEMBRE</cx:pt>
          <cx:pt idx="297">OCTUBRE</cx:pt>
          <cx:pt idx="298">NOVIEMBRE</cx:pt>
          <cx:pt idx="299">DICIEMBRE</cx:pt>
          <cx:pt idx="300">ENERO</cx:pt>
          <cx:pt idx="301">FEBRERO</cx:pt>
          <cx:pt idx="302">MARZO</cx:pt>
          <cx:pt idx="303">ABRIL</cx:pt>
          <cx:pt idx="304">MAYO</cx:pt>
          <cx:pt idx="305">JUNIO</cx:pt>
          <cx:pt idx="306">JULIO</cx:pt>
          <cx:pt idx="307">AGOSTO</cx:pt>
          <cx:pt idx="308">SEPTIEMBRE</cx:pt>
          <cx:pt idx="309">OCTUBRE</cx:pt>
          <cx:pt idx="310">NOVIEMBRE</cx:pt>
          <cx:pt idx="311">DICIEMBRE</cx:pt>
          <cx:pt idx="312">ENERO</cx:pt>
          <cx:pt idx="313">FEBRERO</cx:pt>
          <cx:pt idx="314">MARZO</cx:pt>
          <cx:pt idx="315">ABRIL</cx:pt>
          <cx:pt idx="316">MAYO</cx:pt>
          <cx:pt idx="317">JUNIO</cx:pt>
          <cx:pt idx="318">JULIO</cx:pt>
          <cx:pt idx="319">AGOSTO</cx:pt>
          <cx:pt idx="320">SEPTIEMBRE</cx:pt>
          <cx:pt idx="321">OCTUBRE</cx:pt>
          <cx:pt idx="322">NOVIEMBRE</cx:pt>
          <cx:pt idx="323">DICIEMBRE</cx:pt>
          <cx:pt idx="324">ENERO</cx:pt>
          <cx:pt idx="325">FEBRERO</cx:pt>
          <cx:pt idx="326">MARZO</cx:pt>
          <cx:pt idx="327">ABRIL</cx:pt>
          <cx:pt idx="328">MAYO</cx:pt>
          <cx:pt idx="329">JUNIO</cx:pt>
          <cx:pt idx="330">JULIO</cx:pt>
          <cx:pt idx="331">AGOSTO</cx:pt>
          <cx:pt idx="332">SEPTIEMBRE</cx:pt>
          <cx:pt idx="333">OCTUBRE</cx:pt>
          <cx:pt idx="334">NOVIEMBRE</cx:pt>
          <cx:pt idx="335">DICIEMBRE</cx:pt>
          <cx:pt idx="336">ENERO</cx:pt>
          <cx:pt idx="337">FEBRERO</cx:pt>
          <cx:pt idx="338">MARZO</cx:pt>
          <cx:pt idx="339">ABRIL</cx:pt>
          <cx:pt idx="340">MAYO</cx:pt>
          <cx:pt idx="341">JUNIO</cx:pt>
          <cx:pt idx="342">JULIO</cx:pt>
          <cx:pt idx="343">AGOSTO</cx:pt>
          <cx:pt idx="344">SEPTIEMBRE</cx:pt>
          <cx:pt idx="345">OCTUBRE</cx:pt>
          <cx:pt idx="346">NOVIEMBRE</cx:pt>
          <cx:pt idx="347">DICIEMBRE</cx:pt>
          <cx:pt idx="348">ENERO</cx:pt>
          <cx:pt idx="349">FEBRERO</cx:pt>
          <cx:pt idx="350">MARZO</cx:pt>
          <cx:pt idx="351">ABRIL</cx:pt>
          <cx:pt idx="352">MAYO</cx:pt>
          <cx:pt idx="353">JUNIO</cx:pt>
          <cx:pt idx="354">JULIO</cx:pt>
          <cx:pt idx="355">AGOSTO</cx:pt>
          <cx:pt idx="356">SEPTIEMBRE</cx:pt>
          <cx:pt idx="357">OCTUBRE</cx:pt>
          <cx:pt idx="358">NOVIEMBRE</cx:pt>
          <cx:pt idx="359">DICIEMBRE</cx:pt>
        </cx:lvl>
        <cx:lvl ptCount="360">
          <cx:pt idx="0">2017</cx:pt>
          <cx:pt idx="1">2017</cx:pt>
          <cx:pt idx="2">2017</cx:pt>
          <cx:pt idx="3">2017</cx:pt>
          <cx:pt idx="4">2017</cx:pt>
          <cx:pt idx="5">2017</cx:pt>
          <cx:pt idx="6">2017</cx:pt>
          <cx:pt idx="7">2017</cx:pt>
          <cx:pt idx="8">2017</cx:pt>
          <cx:pt idx="9">2017</cx:pt>
          <cx:pt idx="10">2017</cx:pt>
          <cx:pt idx="11">2017</cx:pt>
          <cx:pt idx="12">2018</cx:pt>
          <cx:pt idx="13">2018</cx:pt>
          <cx:pt idx="14">2018</cx:pt>
          <cx:pt idx="15">2018</cx:pt>
          <cx:pt idx="16">2018</cx:pt>
          <cx:pt idx="17">2018</cx:pt>
          <cx:pt idx="18">2018</cx:pt>
          <cx:pt idx="19">2018</cx:pt>
          <cx:pt idx="20">2018</cx:pt>
          <cx:pt idx="21">2018</cx:pt>
          <cx:pt idx="22">2018</cx:pt>
          <cx:pt idx="23">2018</cx:pt>
          <cx:pt idx="24">2019</cx:pt>
          <cx:pt idx="25">2019</cx:pt>
          <cx:pt idx="26">2019</cx:pt>
          <cx:pt idx="27">2019</cx:pt>
          <cx:pt idx="28">2019</cx:pt>
          <cx:pt idx="29">2019</cx:pt>
          <cx:pt idx="30">2019</cx:pt>
          <cx:pt idx="31">2019</cx:pt>
          <cx:pt idx="32">2019</cx:pt>
          <cx:pt idx="33">2019</cx:pt>
          <cx:pt idx="34">2019</cx:pt>
          <cx:pt idx="35">2019</cx:pt>
          <cx:pt idx="36">2017</cx:pt>
          <cx:pt idx="37">2017</cx:pt>
          <cx:pt idx="38">2017</cx:pt>
          <cx:pt idx="39">2017</cx:pt>
          <cx:pt idx="40">2017</cx:pt>
          <cx:pt idx="41">2017</cx:pt>
          <cx:pt idx="42">2017</cx:pt>
          <cx:pt idx="43">2017</cx:pt>
          <cx:pt idx="44">2017</cx:pt>
          <cx:pt idx="45">2017</cx:pt>
          <cx:pt idx="46">2017</cx:pt>
          <cx:pt idx="47">2017</cx:pt>
          <cx:pt idx="48">2018</cx:pt>
          <cx:pt idx="49">2018</cx:pt>
          <cx:pt idx="50">2018</cx:pt>
          <cx:pt idx="51">2018</cx:pt>
          <cx:pt idx="52">2018</cx:pt>
          <cx:pt idx="53">2018</cx:pt>
          <cx:pt idx="54">2018</cx:pt>
          <cx:pt idx="55">2018</cx:pt>
          <cx:pt idx="56">2018</cx:pt>
          <cx:pt idx="57">2018</cx:pt>
          <cx:pt idx="58">2018</cx:pt>
          <cx:pt idx="59">2018</cx:pt>
          <cx:pt idx="60">2019</cx:pt>
          <cx:pt idx="61">2019</cx:pt>
          <cx:pt idx="62">2019</cx:pt>
          <cx:pt idx="63">2019</cx:pt>
          <cx:pt idx="64">2019</cx:pt>
          <cx:pt idx="65">2019</cx:pt>
          <cx:pt idx="66">2019</cx:pt>
          <cx:pt idx="67">2019</cx:pt>
          <cx:pt idx="68">2019</cx:pt>
          <cx:pt idx="69">2019</cx:pt>
          <cx:pt idx="70">2019</cx:pt>
          <cx:pt idx="71">2019</cx:pt>
          <cx:pt idx="72">2017</cx:pt>
          <cx:pt idx="73">2017</cx:pt>
          <cx:pt idx="74">2017</cx:pt>
          <cx:pt idx="75">2017</cx:pt>
          <cx:pt idx="76">2017</cx:pt>
          <cx:pt idx="77">2017</cx:pt>
          <cx:pt idx="78">2017</cx:pt>
          <cx:pt idx="79">2017</cx:pt>
          <cx:pt idx="80">2017</cx:pt>
          <cx:pt idx="81">2017</cx:pt>
          <cx:pt idx="82">2017</cx:pt>
          <cx:pt idx="83">2017</cx:pt>
          <cx:pt idx="84">2018</cx:pt>
          <cx:pt idx="85">2018</cx:pt>
          <cx:pt idx="86">2018</cx:pt>
          <cx:pt idx="87">2018</cx:pt>
          <cx:pt idx="88">2018</cx:pt>
          <cx:pt idx="89">2018</cx:pt>
          <cx:pt idx="90">2018</cx:pt>
          <cx:pt idx="91">2018</cx:pt>
          <cx:pt idx="92">2018</cx:pt>
          <cx:pt idx="93">2018</cx:pt>
          <cx:pt idx="94">2018</cx:pt>
          <cx:pt idx="95">2018</cx:pt>
          <cx:pt idx="96">2019</cx:pt>
          <cx:pt idx="97">2019</cx:pt>
          <cx:pt idx="98">2019</cx:pt>
          <cx:pt idx="99">2019</cx:pt>
          <cx:pt idx="100">2019</cx:pt>
          <cx:pt idx="101">2019</cx:pt>
          <cx:pt idx="102">2019</cx:pt>
          <cx:pt idx="103">2019</cx:pt>
          <cx:pt idx="104">2019</cx:pt>
          <cx:pt idx="105">2019</cx:pt>
          <cx:pt idx="106">2019</cx:pt>
          <cx:pt idx="107">2019</cx:pt>
          <cx:pt idx="108">2017</cx:pt>
          <cx:pt idx="109">2017</cx:pt>
          <cx:pt idx="110">2017</cx:pt>
          <cx:pt idx="111">2017</cx:pt>
          <cx:pt idx="112">2017</cx:pt>
          <cx:pt idx="113">2017</cx:pt>
          <cx:pt idx="114">2017</cx:pt>
          <cx:pt idx="115">2017</cx:pt>
          <cx:pt idx="116">2017</cx:pt>
          <cx:pt idx="117">2017</cx:pt>
          <cx:pt idx="118">2017</cx:pt>
          <cx:pt idx="119">2017</cx:pt>
          <cx:pt idx="120">2018</cx:pt>
          <cx:pt idx="121">2018</cx:pt>
          <cx:pt idx="122">2018</cx:pt>
          <cx:pt idx="123">2018</cx:pt>
          <cx:pt idx="124">2018</cx:pt>
          <cx:pt idx="125">2018</cx:pt>
          <cx:pt idx="126">2018</cx:pt>
          <cx:pt idx="127">2018</cx:pt>
          <cx:pt idx="128">2018</cx:pt>
          <cx:pt idx="129">2018</cx:pt>
          <cx:pt idx="130">2018</cx:pt>
          <cx:pt idx="131">2018</cx:pt>
          <cx:pt idx="132">2019</cx:pt>
          <cx:pt idx="133">2019</cx:pt>
          <cx:pt idx="134">2019</cx:pt>
          <cx:pt idx="135">2019</cx:pt>
          <cx:pt idx="136">2019</cx:pt>
          <cx:pt idx="137">2019</cx:pt>
          <cx:pt idx="138">2019</cx:pt>
          <cx:pt idx="139">2019</cx:pt>
          <cx:pt idx="140">2019</cx:pt>
          <cx:pt idx="141">2019</cx:pt>
          <cx:pt idx="142">2019</cx:pt>
          <cx:pt idx="143">2019</cx:pt>
          <cx:pt idx="144">2017</cx:pt>
          <cx:pt idx="145">2017</cx:pt>
          <cx:pt idx="146">2017</cx:pt>
          <cx:pt idx="147">2017</cx:pt>
          <cx:pt idx="148">2017</cx:pt>
          <cx:pt idx="149">2017</cx:pt>
          <cx:pt idx="150">2017</cx:pt>
          <cx:pt idx="151">2017</cx:pt>
          <cx:pt idx="152">2017</cx:pt>
          <cx:pt idx="153">2017</cx:pt>
          <cx:pt idx="154">2017</cx:pt>
          <cx:pt idx="155">2017</cx:pt>
          <cx:pt idx="156">2018</cx:pt>
          <cx:pt idx="157">2018</cx:pt>
          <cx:pt idx="158">2018</cx:pt>
          <cx:pt idx="159">2018</cx:pt>
          <cx:pt idx="160">2018</cx:pt>
          <cx:pt idx="161">2018</cx:pt>
          <cx:pt idx="162">2018</cx:pt>
          <cx:pt idx="163">2018</cx:pt>
          <cx:pt idx="164">2018</cx:pt>
          <cx:pt idx="165">2018</cx:pt>
          <cx:pt idx="166">2018</cx:pt>
          <cx:pt idx="167">2018</cx:pt>
          <cx:pt idx="168">2019</cx:pt>
          <cx:pt idx="169">2019</cx:pt>
          <cx:pt idx="170">2019</cx:pt>
          <cx:pt idx="171">2019</cx:pt>
          <cx:pt idx="172">2019</cx:pt>
          <cx:pt idx="173">2019</cx:pt>
          <cx:pt idx="174">2019</cx:pt>
          <cx:pt idx="175">2019</cx:pt>
          <cx:pt idx="176">2019</cx:pt>
          <cx:pt idx="177">2019</cx:pt>
          <cx:pt idx="178">2019</cx:pt>
          <cx:pt idx="179">2019</cx:pt>
          <cx:pt idx="180">2017</cx:pt>
          <cx:pt idx="181">2017</cx:pt>
          <cx:pt idx="182">2017</cx:pt>
          <cx:pt idx="183">2017</cx:pt>
          <cx:pt idx="184">2017</cx:pt>
          <cx:pt idx="185">2017</cx:pt>
          <cx:pt idx="186">2017</cx:pt>
          <cx:pt idx="187">2017</cx:pt>
          <cx:pt idx="188">2017</cx:pt>
          <cx:pt idx="189">2017</cx:pt>
          <cx:pt idx="190">2017</cx:pt>
          <cx:pt idx="191">2017</cx:pt>
          <cx:pt idx="192">2018</cx:pt>
          <cx:pt idx="193">2018</cx:pt>
          <cx:pt idx="194">2018</cx:pt>
          <cx:pt idx="195">2018</cx:pt>
          <cx:pt idx="196">2018</cx:pt>
          <cx:pt idx="197">2018</cx:pt>
          <cx:pt idx="198">2018</cx:pt>
          <cx:pt idx="199">2018</cx:pt>
          <cx:pt idx="200">2018</cx:pt>
          <cx:pt idx="201">2018</cx:pt>
          <cx:pt idx="202">2018</cx:pt>
          <cx:pt idx="203">2018</cx:pt>
          <cx:pt idx="204">2019</cx:pt>
          <cx:pt idx="205">2019</cx:pt>
          <cx:pt idx="206">2019</cx:pt>
          <cx:pt idx="207">2019</cx:pt>
          <cx:pt idx="208">2019</cx:pt>
          <cx:pt idx="209">2019</cx:pt>
          <cx:pt idx="210">2019</cx:pt>
          <cx:pt idx="211">2019</cx:pt>
          <cx:pt idx="212">2019</cx:pt>
          <cx:pt idx="213">2019</cx:pt>
          <cx:pt idx="214">2019</cx:pt>
          <cx:pt idx="215">2019</cx:pt>
          <cx:pt idx="216">2017</cx:pt>
          <cx:pt idx="217">2017</cx:pt>
          <cx:pt idx="218">2017</cx:pt>
          <cx:pt idx="219">2017</cx:pt>
          <cx:pt idx="220">2017</cx:pt>
          <cx:pt idx="221">2017</cx:pt>
          <cx:pt idx="222">2017</cx:pt>
          <cx:pt idx="223">2017</cx:pt>
          <cx:pt idx="224">2017</cx:pt>
          <cx:pt idx="225">2017</cx:pt>
          <cx:pt idx="226">2017</cx:pt>
          <cx:pt idx="227">2017</cx:pt>
          <cx:pt idx="228">2018</cx:pt>
          <cx:pt idx="229">2018</cx:pt>
          <cx:pt idx="230">2018</cx:pt>
          <cx:pt idx="231">2018</cx:pt>
          <cx:pt idx="232">2018</cx:pt>
          <cx:pt idx="233">2018</cx:pt>
          <cx:pt idx="234">2018</cx:pt>
          <cx:pt idx="235">2018</cx:pt>
          <cx:pt idx="236">2018</cx:pt>
          <cx:pt idx="237">2018</cx:pt>
          <cx:pt idx="238">2018</cx:pt>
          <cx:pt idx="239">2018</cx:pt>
          <cx:pt idx="240">2019</cx:pt>
          <cx:pt idx="241">2019</cx:pt>
          <cx:pt idx="242">2019</cx:pt>
          <cx:pt idx="243">2019</cx:pt>
          <cx:pt idx="244">2019</cx:pt>
          <cx:pt idx="245">2019</cx:pt>
          <cx:pt idx="246">2019</cx:pt>
          <cx:pt idx="247">2019</cx:pt>
          <cx:pt idx="248">2019</cx:pt>
          <cx:pt idx="249">2019</cx:pt>
          <cx:pt idx="250">2019</cx:pt>
          <cx:pt idx="251">2019</cx:pt>
          <cx:pt idx="252">2017</cx:pt>
          <cx:pt idx="253">2017</cx:pt>
          <cx:pt idx="254">2017</cx:pt>
          <cx:pt idx="255">2017</cx:pt>
          <cx:pt idx="256">2017</cx:pt>
          <cx:pt idx="257">2017</cx:pt>
          <cx:pt idx="258">2017</cx:pt>
          <cx:pt idx="259">2017</cx:pt>
          <cx:pt idx="260">2017</cx:pt>
          <cx:pt idx="261">2017</cx:pt>
          <cx:pt idx="262">2017</cx:pt>
          <cx:pt idx="263">2017</cx:pt>
          <cx:pt idx="264">2018</cx:pt>
          <cx:pt idx="265">2018</cx:pt>
          <cx:pt idx="266">2018</cx:pt>
          <cx:pt idx="267">2018</cx:pt>
          <cx:pt idx="268">2018</cx:pt>
          <cx:pt idx="269">2018</cx:pt>
          <cx:pt idx="270">2018</cx:pt>
          <cx:pt idx="271">2018</cx:pt>
          <cx:pt idx="272">2018</cx:pt>
          <cx:pt idx="273">2018</cx:pt>
          <cx:pt idx="274">2018</cx:pt>
          <cx:pt idx="275">2018</cx:pt>
          <cx:pt idx="276">2019</cx:pt>
          <cx:pt idx="277">2019</cx:pt>
          <cx:pt idx="278">2019</cx:pt>
          <cx:pt idx="279">2019</cx:pt>
          <cx:pt idx="280">2019</cx:pt>
          <cx:pt idx="281">2019</cx:pt>
          <cx:pt idx="282">2019</cx:pt>
          <cx:pt idx="283">2019</cx:pt>
          <cx:pt idx="284">2019</cx:pt>
          <cx:pt idx="285">2019</cx:pt>
          <cx:pt idx="286">2019</cx:pt>
          <cx:pt idx="287">2019</cx:pt>
          <cx:pt idx="288">2017</cx:pt>
          <cx:pt idx="289">2017</cx:pt>
          <cx:pt idx="290">2017</cx:pt>
          <cx:pt idx="291">2017</cx:pt>
          <cx:pt idx="292">2017</cx:pt>
          <cx:pt idx="293">2017</cx:pt>
          <cx:pt idx="294">2017</cx:pt>
          <cx:pt idx="295">2017</cx:pt>
          <cx:pt idx="296">2017</cx:pt>
          <cx:pt idx="297">2017</cx:pt>
          <cx:pt idx="298">2017</cx:pt>
          <cx:pt idx="299">2017</cx:pt>
          <cx:pt idx="300">2018</cx:pt>
          <cx:pt idx="301">2018</cx:pt>
          <cx:pt idx="302">2018</cx:pt>
          <cx:pt idx="303">2018</cx:pt>
          <cx:pt idx="304">2018</cx:pt>
          <cx:pt idx="305">2018</cx:pt>
          <cx:pt idx="306">2018</cx:pt>
          <cx:pt idx="307">2018</cx:pt>
          <cx:pt idx="308">2018</cx:pt>
          <cx:pt idx="309">2018</cx:pt>
          <cx:pt idx="310">2018</cx:pt>
          <cx:pt idx="311">2018</cx:pt>
          <cx:pt idx="312">2019</cx:pt>
          <cx:pt idx="313">2019</cx:pt>
          <cx:pt idx="314">2019</cx:pt>
          <cx:pt idx="315">2019</cx:pt>
          <cx:pt idx="316">2019</cx:pt>
          <cx:pt idx="317">2019</cx:pt>
          <cx:pt idx="318">2019</cx:pt>
          <cx:pt idx="319">2019</cx:pt>
          <cx:pt idx="320">2019</cx:pt>
          <cx:pt idx="321">2019</cx:pt>
          <cx:pt idx="322">2019</cx:pt>
          <cx:pt idx="323">2019</cx:pt>
          <cx:pt idx="324">2017</cx:pt>
          <cx:pt idx="325">2017</cx:pt>
          <cx:pt idx="326">2017</cx:pt>
          <cx:pt idx="327">2017</cx:pt>
          <cx:pt idx="328">2017</cx:pt>
          <cx:pt idx="329">2017</cx:pt>
          <cx:pt idx="330">2017</cx:pt>
          <cx:pt idx="331">2017</cx:pt>
          <cx:pt idx="332">2017</cx:pt>
          <cx:pt idx="333">2017</cx:pt>
          <cx:pt idx="334">2017</cx:pt>
          <cx:pt idx="335">2017</cx:pt>
          <cx:pt idx="336">2018</cx:pt>
          <cx:pt idx="337">2018</cx:pt>
          <cx:pt idx="338">2018</cx:pt>
          <cx:pt idx="339">2018</cx:pt>
          <cx:pt idx="340">2018</cx:pt>
          <cx:pt idx="341">2018</cx:pt>
          <cx:pt idx="342">2018</cx:pt>
          <cx:pt idx="343">2018</cx:pt>
          <cx:pt idx="344">2018</cx:pt>
          <cx:pt idx="345">2018</cx:pt>
          <cx:pt idx="346">2018</cx:pt>
          <cx:pt idx="347">2018</cx:pt>
          <cx:pt idx="348">2019</cx:pt>
          <cx:pt idx="349">2019</cx:pt>
          <cx:pt idx="350">2019</cx:pt>
          <cx:pt idx="351">2019</cx:pt>
          <cx:pt idx="352">2019</cx:pt>
          <cx:pt idx="353">2019</cx:pt>
          <cx:pt idx="354">2019</cx:pt>
          <cx:pt idx="355">2019</cx:pt>
          <cx:pt idx="356">2019</cx:pt>
          <cx:pt idx="357">2019</cx:pt>
          <cx:pt idx="358">2019</cx:pt>
          <cx:pt idx="359">2019</cx:pt>
        </cx:lvl>
      </cx:strDim>
      <cx:numDim type="val">
        <cx:f>'Cajas y Bigotes'!$D$2:$D$361</cx:f>
        <cx:lvl ptCount="360" formatCode="0,0">
          <cx:pt idx="8">11.116666666666667</cx:pt>
          <cx:pt idx="9">11.527586206896551</cx:pt>
          <cx:pt idx="10">9.7586206896551708</cx:pt>
          <cx:pt idx="11">12.745161290322578</cx:pt>
          <cx:pt idx="12">13.125000000000004</cx:pt>
          <cx:pt idx="13">22.550000000000001</cx:pt>
          <cx:pt idx="14">25.351612903225806</cx:pt>
          <cx:pt idx="15">11.036666666666669</cx:pt>
          <cx:pt idx="16">8.3633333333333351</cx:pt>
          <cx:pt idx="17">8.3399999999999981</cx:pt>
          <cx:pt idx="18">9.7709677419354843</cx:pt>
          <cx:pt idx="19">11.226666666666667</cx:pt>
          <cx:pt idx="20">9.930769230769231</cx:pt>
          <cx:pt idx="21">7.7448275862068972</cx:pt>
          <cx:pt idx="22">8.3233333333333341</cx:pt>
          <cx:pt idx="23">11.633333333333333</cx:pt>
          <cx:pt idx="24">15.012903225806454</cx:pt>
          <cx:pt idx="25">26.44814814814815</cx:pt>
          <cx:pt idx="26">28.932258064516127</cx:pt>
          <cx:pt idx="27">14.246666666666664</cx:pt>
          <cx:pt idx="28">9.6741935483870982</cx:pt>
          <cx:pt idx="29">8.543333333333333</cx:pt>
          <cx:pt idx="30">8.9354838709677402</cx:pt>
          <cx:pt idx="31">16.980645161290322</cx:pt>
          <cx:pt idx="32">9.1541666666666668</cx:pt>
          <cx:pt idx="33">8.7838709677419349</cx:pt>
          <cx:pt idx="34">10.343333333333334</cx:pt>
          <cx:pt idx="35">11.06451612903226</cx:pt>
          <cx:pt idx="36">22.390000000000001</cx:pt>
          <cx:pt idx="37">28.066666666666666</cx:pt>
          <cx:pt idx="39">25.899999999999999</cx:pt>
          <cx:pt idx="40">20.636363636363637</cx:pt>
          <cx:pt idx="41">19.277777777777779</cx:pt>
          <cx:pt idx="42">23.255555555555556</cx:pt>
          <cx:pt idx="43">20.299999999999997</cx:pt>
          <cx:pt idx="44">21.800000000000001</cx:pt>
          <cx:pt idx="45">23.211111111111116</cx:pt>
          <cx:pt idx="46">14.539655172413791</cx:pt>
          <cx:pt idx="47">17.582258064516129</cx:pt>
          <cx:pt idx="48">17.683333333333334</cx:pt>
          <cx:pt idx="49">25.160714285714281</cx:pt>
          <cx:pt idx="50">27.041935483870969</cx:pt>
          <cx:pt idx="51">15.903333333333336</cx:pt>
          <cx:pt idx="52">14.351612903225808</cx:pt>
          <cx:pt idx="53">11.563333333333334</cx:pt>
          <cx:pt idx="54">13.022580645161293</cx:pt>
          <cx:pt idx="55">14.580000000000004</cx:pt>
          <cx:pt idx="56">15.093333333333335</cx:pt>
          <cx:pt idx="57">14.309677419354836</cx:pt>
          <cx:pt idx="58">15.620000000000001</cx:pt>
          <cx:pt idx="59">17.366666666666667</cx:pt>
          <cx:pt idx="60">18.011111111111109</cx:pt>
          <cx:pt idx="61">27.217857142857138</cx:pt>
          <cx:pt idx="62">29.135483870967743</cx:pt>
          <cx:pt idx="63">16.550000000000001</cx:pt>
          <cx:pt idx="64">12.883870967741938</cx:pt>
          <cx:pt idx="65">11.180000000000001</cx:pt>
          <cx:pt idx="66">10.775806451612901</cx:pt>
          <cx:pt idx="67">17.532258064516132</cx:pt>
          <cx:pt idx="68">14.174999999999999</cx:pt>
          <cx:pt idx="69">12.214516129032255</cx:pt>
          <cx:pt idx="70">13.295000000000005</cx:pt>
          <cx:pt idx="71">13.94354838709677</cx:pt>
          <cx:pt idx="72">29.050000000000001</cx:pt>
          <cx:pt idx="73">29.085714285714285</cx:pt>
          <cx:pt idx="74">30.59333333333333</cx:pt>
          <cx:pt idx="75">33.396666666666675</cx:pt>
          <cx:pt idx="76">25.551612903225802</cx:pt>
          <cx:pt idx="77">23.970000000000002</cx:pt>
          <cx:pt idx="78">25.493548387096769</cx:pt>
          <cx:pt idx="79">25.140000000000004</cx:pt>
          <cx:pt idx="80">26.956666666666667</cx:pt>
          <cx:pt idx="81">25.745161290322578</cx:pt>
          <cx:pt idx="82">24.366666666666664</cx:pt>
          <cx:pt idx="83">26.863333333333337</cx:pt>
          <cx:pt idx="84">23.923999999999996</cx:pt>
          <cx:pt idx="85">34.625000000000007</cx:pt>
          <cx:pt idx="86">35.938709677419354</cx:pt>
          <cx:pt idx="87">19.310000000000002</cx:pt>
          <cx:pt idx="88">16.195161290322584</cx:pt>
          <cx:pt idx="89">15.939999999999998</cx:pt>
          <cx:pt idx="90">18.677419354838708</cx:pt>
          <cx:pt idx="91">20.593548387096778</cx:pt>
          <cx:pt idx="92">20.133333333333333</cx:pt>
          <cx:pt idx="93">16.288709677419355</cx:pt>
          <cx:pt idx="94">17.956666666666667</cx:pt>
          <cx:pt idx="95">20.970833333333331</cx:pt>
          <cx:pt idx="96">22.93548387096774</cx:pt>
          <cx:pt idx="97">34.435714285714276</cx:pt>
          <cx:pt idx="98">35.169354838709687</cx:pt>
          <cx:pt idx="99">20.363333333333333</cx:pt>
          <cx:pt idx="100">18.069354838709678</cx:pt>
          <cx:pt idx="101">16.109999999999996</cx:pt>
          <cx:pt idx="102">16.804838709677416</cx:pt>
          <cx:pt idx="103">24.504838709677415</cx:pt>
          <cx:pt idx="104">18.066666666666666</cx:pt>
          <cx:pt idx="105">16.366129032258062</cx:pt>
          <cx:pt idx="106">17.660000000000004</cx:pt>
          <cx:pt idx="107">18.511290322580642</cx:pt>
          <cx:pt idx="117">45.709999999999994</cx:pt>
          <cx:pt idx="118">37.489999999999995</cx:pt>
          <cx:pt idx="119">45.279999999999987</cx:pt>
          <cx:pt idx="120">15.664516129032261</cx:pt>
          <cx:pt idx="121">27.103571428571428</cx:pt>
          <cx:pt idx="122">26.974193548387102</cx:pt>
          <cx:pt idx="123">14.830000000000002</cx:pt>
          <cx:pt idx="124">11.35483870967742</cx:pt>
          <cx:pt idx="125">10.199999999999999</cx:pt>
          <cx:pt idx="126">11.161290322580646</cx:pt>
          <cx:pt idx="127">12.029999999999998</cx:pt>
          <cx:pt idx="128">13.926923076923078</cx:pt>
          <cx:pt idx="129">12.751612903225809</cx:pt>
          <cx:pt idx="130">13.686206896551726</cx:pt>
          <cx:pt idx="131">15.990909090909092</cx:pt>
          <cx:pt idx="132">17.962068965517236</cx:pt>
          <cx:pt idx="133">28.264285714285716</cx:pt>
          <cx:pt idx="134">30.14838709677419</cx:pt>
          <cx:pt idx="135">17.286666666666669</cx:pt>
          <cx:pt idx="136">12.816129032258063</cx:pt>
          <cx:pt idx="137">10.523333333333335</cx:pt>
          <cx:pt idx="138">10.287096774193552</cx:pt>
          <cx:pt idx="139">18.129999999999999</cx:pt>
          <cx:pt idx="140">12.93</cx:pt>
          <cx:pt idx="141">11.31</cx:pt>
          <cx:pt idx="142">12.74</cx:pt>
          <cx:pt idx="143">12.833333333333332</cx:pt>
          <cx:pt idx="152">9.2799999999999994</cx:pt>
          <cx:pt idx="153">12.457142857142856</cx:pt>
          <cx:pt idx="154">15.975000000000005</cx:pt>
          <cx:pt idx="155">17.109677419354838</cx:pt>
          <cx:pt idx="156">18.193548387096776</cx:pt>
          <cx:pt idx="157">28.521428571428569</cx:pt>
          <cx:pt idx="158">28.560000000000002</cx:pt>
          <cx:pt idx="159">17.828571428571429</cx:pt>
          <cx:pt idx="160">15.038709677419355</cx:pt>
          <cx:pt idx="161">12.416666666666664</cx:pt>
          <cx:pt idx="162">13.248387096774195</cx:pt>
          <cx:pt idx="163">13.936666666666667</cx:pt>
          <cx:pt idx="164">16.420000000000002</cx:pt>
          <cx:pt idx="165">15.449999999999999</cx:pt>
          <cx:pt idx="166">16.966666666666669</cx:pt>
          <cx:pt idx="167">18.633333333333333</cx:pt>
          <cx:pt idx="168">18.158064516129031</cx:pt>
          <cx:pt idx="169">29.114285714285707</cx:pt>
          <cx:pt idx="170">30.29677419354838</cx:pt>
          <cx:pt idx="171">18.910344827586211</cx:pt>
          <cx:pt idx="172">15.890322580645158</cx:pt>
          <cx:pt idx="173">12.376666666666663</cx:pt>
          <cx:pt idx="174">12.016129032258068</cx:pt>
          <cx:pt idx="175">17.920000000000005</cx:pt>
          <cx:pt idx="176">13.765384615384619</cx:pt>
          <cx:pt idx="177">14.177419354838714</cx:pt>
          <cx:pt idx="178">15.870000000000003</cx:pt>
          <cx:pt idx="179">15.92258064516129</cx:pt>
          <cx:pt idx="180">18.180645161290322</cx:pt>
          <cx:pt idx="181">27.35217391304348</cx:pt>
          <cx:pt idx="182">26.386666666666663</cx:pt>
          <cx:pt idx="183">21.09</cx:pt>
          <cx:pt idx="184">18.034615384615385</cx:pt>
          <cx:pt idx="185">23.196666666666665</cx:pt>
          <cx:pt idx="186">17.570967741935487</cx:pt>
          <cx:pt idx="187">20.43870967741935</cx:pt>
          <cx:pt idx="188">15.726666666666667</cx:pt>
          <cx:pt idx="189">20.665517241379312</cx:pt>
          <cx:pt idx="190">17.727586206896554</cx:pt>
          <cx:pt idx="191">20.119354838709679</cx:pt>
          <cx:pt idx="192">22.346153846153847</cx:pt>
          <cx:pt idx="193">30.757142857142856</cx:pt>
          <cx:pt idx="194">31.990322580645163</cx:pt>
          <cx:pt idx="195">17.327586206896559</cx:pt>
          <cx:pt idx="196">13.06111111111111</cx:pt>
          <cx:pt idx="197">13.244444444444444</cx:pt>
          <cx:pt idx="198">12.803846153846155</cx:pt>
          <cx:pt idx="199">17.76896551724138</cx:pt>
          <cx:pt idx="200">14.539999999999999</cx:pt>
          <cx:pt idx="201">13.253333333333332</cx:pt>
          <cx:pt idx="202">13.714285714285719</cx:pt>
          <cx:pt idx="203">12.549999999999999</cx:pt>
          <cx:pt idx="216">23.254838709677419</cx:pt>
          <cx:pt idx="217">26.598214285714288</cx:pt>
          <cx:pt idx="218">30.96935483870967</cx:pt>
          <cx:pt idx="219">25.943333333333328</cx:pt>
          <cx:pt idx="220">21.906451612903226</cx:pt>
          <cx:pt idx="221">19.350000000000001</cx:pt>
          <cx:pt idx="222">19.520967741935486</cx:pt>
          <cx:pt idx="223">20.341935483870966</cx:pt>
          <cx:pt idx="224">27.344999999999995</cx:pt>
          <cx:pt idx="225">25.893548387096772</cx:pt>
          <cx:pt idx="226">22.958333333333332</cx:pt>
          <cx:pt idx="227">21.9758064516129</cx:pt>
          <cx:pt idx="228">21.388888888888889</cx:pt>
          <cx:pt idx="229">31.791071428571424</cx:pt>
          <cx:pt idx="230">34.614516129032246</cx:pt>
          <cx:pt idx="231">21.779999999999998</cx:pt>
          <cx:pt idx="232">17.398387096774194</cx:pt>
          <cx:pt idx="233">15.801666666666671</cx:pt>
          <cx:pt idx="234">16.843548387096774</cx:pt>
          <cx:pt idx="235">18.96612903225807</cx:pt>
          <cx:pt idx="236">20.224999999999998</cx:pt>
          <cx:pt idx="237">18.38548387096774</cx:pt>
          <cx:pt idx="238">20.916666666666668</cx:pt>
          <cx:pt idx="239">22.141666666666662</cx:pt>
          <cx:pt idx="240">19.488709677419351</cx:pt>
          <cx:pt idx="241">31.458333333333336</cx:pt>
          <cx:pt idx="242">32.776344086021517</cx:pt>
          <cx:pt idx="243">19.783333333333335</cx:pt>
          <cx:pt idx="244">16.484946236559139</cx:pt>
          <cx:pt idx="245">14.112777777777778</cx:pt>
          <cx:pt idx="246">15.764516129032256</cx:pt>
          <cx:pt idx="247">24.489247311827956</cx:pt>
          <cx:pt idx="248">18.092222222222222</cx:pt>
          <cx:pt idx="249">18.78817204301075</cx:pt>
          <cx:pt idx="250">20.732222222222219</cx:pt>
          <cx:pt idx="251">18.010752688172044</cx:pt>
          <cx:pt idx="259">14.866666666666665</cx:pt>
          <cx:pt idx="260">18.373333333333335</cx:pt>
          <cx:pt idx="261">17.992000000000004</cx:pt>
          <cx:pt idx="262">16.141379310344828</cx:pt>
          <cx:pt idx="263">16.335483870967742</cx:pt>
          <cx:pt idx="264">18.593548387096774</cx:pt>
          <cx:pt idx="265">27.282142857142851</cx:pt>
          <cx:pt idx="266">28.596774193548384</cx:pt>
          <cx:pt idx="267">17.151724137931033</cx:pt>
          <cx:pt idx="268">15.503448275862066</cx:pt>
          <cx:pt idx="269">13.849999999999998</cx:pt>
          <cx:pt idx="270">15.380000000000001</cx:pt>
          <cx:pt idx="271">15.314285714285718</cx:pt>
          <cx:pt idx="272">17.493333333333332</cx:pt>
          <cx:pt idx="273">15.809677419354845</cx:pt>
          <cx:pt idx="274">18.616666666666667</cx:pt>
          <cx:pt idx="275">19.708333333333332</cx:pt>
          <cx:pt idx="276">21.180645161290322</cx:pt>
          <cx:pt idx="277">32.700000000000003</cx:pt>
          <cx:pt idx="278">32.774193548387096</cx:pt>
          <cx:pt idx="279">19.830000000000002</cx:pt>
          <cx:pt idx="280">18.186666666666667</cx:pt>
          <cx:pt idx="281">14.259999999999998</cx:pt>
          <cx:pt idx="282">14.587096774193549</cx:pt>
          <cx:pt idx="283">21.138709677419357</cx:pt>
          <cx:pt idx="284">16.023076923076921</cx:pt>
          <cx:pt idx="285">13.377419354838709</cx:pt>
          <cx:pt idx="286">14.826666666666664</cx:pt>
          <cx:pt idx="287">14.764516129032257</cx:pt>
          <cx:pt idx="288">27.265376344086025</cx:pt>
          <cx:pt idx="289">31.758630952380948</cx:pt>
          <cx:pt idx="290">34.354032258064514</cx:pt>
          <cx:pt idx="291">26.878611111111113</cx:pt>
          <cx:pt idx="292">25.703494623655921</cx:pt>
          <cx:pt idx="293">23.364444444444448</cx:pt>
          <cx:pt idx="294">21.579032258064519</cx:pt>
          <cx:pt idx="295">23.301881720430103</cx:pt>
          <cx:pt idx="296">25.95472222222222</cx:pt>
          <cx:pt idx="297">23.023181003584227</cx:pt>
          <cx:pt idx="298">21.259185185185189</cx:pt>
          <cx:pt idx="299">21.416592421915002</cx:pt>
          <cx:pt idx="300">21.447677931387609</cx:pt>
          <cx:pt idx="301">30.506434240362811</cx:pt>
          <cx:pt idx="302">30.798476702508967</cx:pt>
          <cx:pt idx="303">20.821620370370365</cx:pt>
          <cx:pt idx="304">18.3360343061956</cx:pt>
          <cx:pt idx="305">14.490806878306879</cx:pt>
          <cx:pt idx="306">15.032258064516125</cx:pt>
          <cx:pt idx="307">15.662186379928313</cx:pt>
          <cx:pt idx="308">18.2101917989418</cx:pt>
          <cx:pt idx="309">17.681758832565286</cx:pt>
          <cx:pt idx="310">19.646018518518517</cx:pt>
          <cx:pt idx="311">20.750992063492067</cx:pt>
          <cx:pt idx="312">20.233248847926262</cx:pt>
          <cx:pt idx="313">31.004478458049885</cx:pt>
          <cx:pt idx="314">32.510439068100361</cx:pt>
          <cx:pt idx="315">20.38763888888889</cx:pt>
          <cx:pt idx="316">18.212711213517665</cx:pt>
          <cx:pt idx="317">14.898240740740743</cx:pt>
          <cx:pt idx="318">14.316290322580643</cx:pt>
          <cx:pt idx="319">21.032365591397852</cx:pt>
          <cx:pt idx="320">16.551564814814817</cx:pt>
          <cx:pt idx="321">16.342969790066569</cx:pt>
          <cx:pt idx="322">18.619111111111113</cx:pt>
          <cx:pt idx="323">18.269865591397849</cx:pt>
          <cx:pt idx="324">40.564516129032256</cx:pt>
          <cx:pt idx="325">44.728571428571435</cx:pt>
          <cx:pt idx="326">46.248387096774188</cx:pt>
          <cx:pt idx="327">39.649999999999991</cx:pt>
          <cx:pt idx="328">41.748387096774195</cx:pt>
          <cx:pt idx="329">39.773333333333341</cx:pt>
          <cx:pt idx="330">39.516129032258057</cx:pt>
          <cx:pt idx="331">37.675862068965515</cx:pt>
          <cx:pt idx="332">45.82692307692308</cx:pt>
          <cx:pt idx="333">46.913333333333334</cx:pt>
          <cx:pt idx="334">30.050000000000001</cx:pt>
          <cx:pt idx="335">30.243333333333339</cx:pt>
          <cx:pt idx="336">29.200000000000006</cx:pt>
          <cx:pt idx="337">38.614285714285714</cx:pt>
          <cx:pt idx="338">37.348924731182791</cx:pt>
          <cx:pt idx="339">24.394999999999996</cx:pt>
          <cx:pt idx="340">21.439655172413797</cx:pt>
          <cx:pt idx="341">18.943103448275863</cx:pt>
          <cx:pt idx="342">20.858064516129026</cx:pt>
          <cx:pt idx="343">22.733870967741932</cx:pt>
          <cx:pt idx="344">24.446666666666665</cx:pt>
          <cx:pt idx="345">21.211666666666666</cx:pt>
          <cx:pt idx="346">24.341071428571436</cx:pt>
          <cx:pt idx="347">26.665789473684214</cx:pt>
          <cx:pt idx="348">19.035483870967745</cx:pt>
          <cx:pt idx="349">30.492857142857151</cx:pt>
          <cx:pt idx="350">31.85806451612903</cx:pt>
          <cx:pt idx="351">18.5</cx:pt>
          <cx:pt idx="352">15.961290322580641</cx:pt>
          <cx:pt idx="353">13.503333333333334</cx:pt>
          <cx:pt idx="354">13.666666666666668</cx:pt>
          <cx:pt idx="355">19.903225806451609</cx:pt>
          <cx:pt idx="356">14.931034482758621</cx:pt>
          <cx:pt idx="357">15.138709677419351</cx:pt>
          <cx:pt idx="358">17.173333333333332</cx:pt>
          <cx:pt idx="359">16.988461538461543</cx:pt>
        </cx:lvl>
      </cx:numDim>
    </cx:data>
  </cx:chartData>
  <cx:chart>
    <cx:plotArea>
      <cx:plotAreaRegion>
        <cx:series layoutId="boxWhisker" uniqueId="{D8C382A3-48D2-4890-B69B-40692F4D73B8}">
          <cx:tx>
            <cx:txData>
              <cx:f>'Cajas y Bigotes'!$D$1</cx:f>
              <cx:v>MEDICION</cx:v>
            </cx:txData>
          </cx:tx>
          <cx:dataId val="0"/>
          <cx:layoutPr>
            <cx:visibility meanLine="0" meanMarker="1" nonoutliers="0" outliers="1"/>
            <cx:statistics quartileMethod="exclusive"/>
          </cx:layoutPr>
        </cx:series>
      </cx:plotAreaRegion>
      <cx:axis id="0">
        <cx:catScaling gapWidth="1"/>
        <cx:title>
          <cx:tx>
            <cx:txData>
              <cx:v>Municipio</cx:v>
            </cx:txData>
          </cx:tx>
          <cx:txPr>
            <a:bodyPr spcFirstLastPara="1" vertOverflow="ellipsis" horzOverflow="overflow" wrap="square" lIns="0" tIns="0" rIns="0" bIns="0" anchor="ctr" anchorCtr="1"/>
            <a:lstStyle/>
            <a:p>
              <a:pPr algn="ctr" rtl="0">
                <a:defRPr/>
              </a:pPr>
              <a:r>
                <a:rPr lang="es-ES" sz="900" b="0" i="0" u="none" strike="noStrike" baseline="0">
                  <a:solidFill>
                    <a:sysClr val="windowText" lastClr="000000">
                      <a:lumMod val="65000"/>
                      <a:lumOff val="35000"/>
                    </a:sysClr>
                  </a:solidFill>
                  <a:latin typeface="Calibri" panose="020F0502020204030204"/>
                </a:rPr>
                <a:t>Municipio</a:t>
              </a:r>
            </a:p>
          </cx:txPr>
        </cx:title>
        <cx:tickLabels/>
      </cx:axis>
      <cx:axis id="1">
        <cx:valScaling/>
        <cx:title>
          <cx:tx>
            <cx:rich>
              <a:bodyPr spcFirstLastPara="1" vertOverflow="ellipsis" horzOverflow="overflow" wrap="square" lIns="0" tIns="0" rIns="0" bIns="0" anchor="ctr" anchorCtr="1"/>
              <a:lstStyle/>
              <a:p>
                <a:pPr algn="ctr" rtl="0">
                  <a:defRPr/>
                </a:pPr>
                <a:r>
                  <a:rPr lang="es-ES" sz="900" b="0" i="0" u="none" strike="noStrike" baseline="0">
                    <a:solidFill>
                      <a:sysClr val="windowText" lastClr="000000">
                        <a:lumMod val="65000"/>
                        <a:lumOff val="35000"/>
                      </a:sysClr>
                    </a:solidFill>
                    <a:effectLst/>
                    <a:latin typeface="Calibri" panose="020F0502020204030204"/>
                    <a:ea typeface="Calibri" panose="020F0502020204030204" pitchFamily="34" charset="0"/>
                    <a:cs typeface="Calibri" panose="020F0502020204030204" pitchFamily="34" charset="0"/>
                  </a:rPr>
                  <a:t>Concentracion PM</a:t>
                </a:r>
                <a:r>
                  <a:rPr lang="es-ES" sz="900" b="0" i="0" u="none" strike="noStrike" baseline="-25000">
                    <a:solidFill>
                      <a:sysClr val="windowText" lastClr="000000">
                        <a:lumMod val="65000"/>
                        <a:lumOff val="35000"/>
                      </a:sysClr>
                    </a:solidFill>
                    <a:effectLst/>
                    <a:latin typeface="Calibri" panose="020F0502020204030204"/>
                    <a:ea typeface="Calibri" panose="020F0502020204030204" pitchFamily="34" charset="0"/>
                    <a:cs typeface="Calibri" panose="020F0502020204030204" pitchFamily="34" charset="0"/>
                  </a:rPr>
                  <a:t>2.5  </a:t>
                </a:r>
                <a:r>
                  <a:rPr lang="es-ES" sz="900" b="0" i="0" u="none" strike="noStrike" baseline="0">
                    <a:solidFill>
                      <a:sysClr val="windowText" lastClr="000000">
                        <a:lumMod val="65000"/>
                        <a:lumOff val="35000"/>
                      </a:sysClr>
                    </a:solidFill>
                    <a:effectLst/>
                    <a:latin typeface="Calibri" panose="020F0502020204030204"/>
                    <a:ea typeface="Calibri" panose="020F0502020204030204" pitchFamily="34" charset="0"/>
                    <a:cs typeface="Calibri" panose="020F0502020204030204" pitchFamily="34" charset="0"/>
                  </a:rPr>
                  <a:t>en </a:t>
                </a:r>
                <a:r>
                  <a:rPr lang="es-CO" sz="900" b="0" i="0" u="none" strike="noStrike" baseline="0">
                    <a:solidFill>
                      <a:sysClr val="windowText" lastClr="000000">
                        <a:lumMod val="65000"/>
                        <a:lumOff val="35000"/>
                      </a:sysClr>
                    </a:solidFill>
                    <a:effectLst/>
                    <a:latin typeface="Calibri" panose="020F0502020204030204"/>
                    <a:ea typeface="Calibri" panose="020F0502020204030204" pitchFamily="34" charset="0"/>
                    <a:cs typeface="Calibri" panose="020F0502020204030204" pitchFamily="34" charset="0"/>
                  </a:rPr>
                  <a:t>µm/m</a:t>
                </a:r>
                <a:r>
                  <a:rPr lang="es-CO" sz="900" b="0" i="0" u="none" strike="noStrike" baseline="30000">
                    <a:solidFill>
                      <a:sysClr val="windowText" lastClr="000000">
                        <a:lumMod val="65000"/>
                        <a:lumOff val="35000"/>
                      </a:sysClr>
                    </a:solidFill>
                    <a:effectLst/>
                    <a:latin typeface="Calibri" panose="020F0502020204030204"/>
                    <a:ea typeface="Calibri" panose="020F0502020204030204" pitchFamily="34" charset="0"/>
                    <a:cs typeface="Calibri" panose="020F0502020204030204" pitchFamily="34" charset="0"/>
                  </a:rPr>
                  <a:t>3</a:t>
                </a:r>
                <a:r>
                  <a:rPr lang="es-CO" sz="900" b="0" i="0" u="none" strike="noStrike" baseline="0">
                    <a:solidFill>
                      <a:sysClr val="windowText" lastClr="000000">
                        <a:lumMod val="65000"/>
                        <a:lumOff val="35000"/>
                      </a:sysClr>
                    </a:solidFill>
                    <a:effectLst/>
                    <a:latin typeface="Calibri" panose="020F0502020204030204"/>
                    <a:ea typeface="Calibri" panose="020F0502020204030204" pitchFamily="34" charset="0"/>
                    <a:cs typeface="Calibri" panose="020F0502020204030204" pitchFamily="34" charset="0"/>
                  </a:rPr>
                  <a:t> </a:t>
                </a:r>
                <a:endParaRPr lang="es-ES" sz="900" b="0" i="0" u="none" strike="noStrike" baseline="0">
                  <a:solidFill>
                    <a:sysClr val="windowText" lastClr="000000">
                      <a:lumMod val="65000"/>
                      <a:lumOff val="35000"/>
                    </a:sysClr>
                  </a:solidFill>
                  <a:latin typeface="Calibri" panose="020F0502020204030204"/>
                </a:endParaRPr>
              </a:p>
            </cx:rich>
          </cx:tx>
        </cx:title>
        <cx:majorGridlines/>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4</Pages>
  <Words>924</Words>
  <Characters>5088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DAVID TAMAYO GONZALEZ</dc:creator>
  <cp:keywords/>
  <dc:description/>
  <cp:lastModifiedBy>LUCAS DAVID TAMAYO GONZALEZ</cp:lastModifiedBy>
  <cp:revision>39</cp:revision>
  <dcterms:created xsi:type="dcterms:W3CDTF">2021-04-14T22:31:00Z</dcterms:created>
  <dcterms:modified xsi:type="dcterms:W3CDTF">2021-05-20T15:13:00Z</dcterms:modified>
</cp:coreProperties>
</file>