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C01A19" w14:textId="77777777" w:rsidR="008C0D94" w:rsidRDefault="008C0D94" w:rsidP="008C0D94">
      <w:pPr>
        <w:jc w:val="center"/>
        <w:rPr>
          <w:rFonts w:cs="Times New Roman"/>
          <w:b/>
          <w:bCs/>
          <w:szCs w:val="24"/>
        </w:rPr>
      </w:pPr>
      <w:r>
        <w:rPr>
          <w:rFonts w:cs="Times New Roman"/>
          <w:b/>
          <w:bCs/>
          <w:noProof/>
          <w:szCs w:val="24"/>
        </w:rPr>
        <w:drawing>
          <wp:inline distT="0" distB="0" distL="0" distR="0" wp14:anchorId="2C734E3F" wp14:editId="5E8D981C">
            <wp:extent cx="2130949" cy="1024495"/>
            <wp:effectExtent l="0" t="0" r="3175" b="0"/>
            <wp:docPr id="21" name="Imagen 2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54B5FB7C" w14:textId="77777777" w:rsidR="008C0D94" w:rsidRPr="008C0D94" w:rsidRDefault="008C0D94" w:rsidP="008C0D94">
      <w:pPr>
        <w:jc w:val="center"/>
        <w:rPr>
          <w:rFonts w:ascii="Times New Roman" w:hAnsi="Times New Roman" w:cs="Times New Roman"/>
          <w:b/>
          <w:bCs/>
          <w:szCs w:val="24"/>
        </w:rPr>
      </w:pPr>
    </w:p>
    <w:p w14:paraId="443E26B2" w14:textId="09B22559" w:rsidR="008C0D94" w:rsidRPr="008C0D94" w:rsidRDefault="008C0D94" w:rsidP="008C0D94">
      <w:pPr>
        <w:jc w:val="center"/>
        <w:rPr>
          <w:rFonts w:ascii="Times New Roman" w:hAnsi="Times New Roman" w:cs="Times New Roman"/>
          <w:sz w:val="24"/>
          <w:szCs w:val="24"/>
        </w:rPr>
      </w:pPr>
      <w:r w:rsidRPr="008C0D94">
        <w:rPr>
          <w:rFonts w:ascii="Times New Roman" w:eastAsia="Times New Roman" w:hAnsi="Times New Roman" w:cs="Times New Roman"/>
          <w:b/>
          <w:sz w:val="24"/>
          <w:szCs w:val="24"/>
        </w:rPr>
        <w:t xml:space="preserve">Gilinski vs Nutresa: </w:t>
      </w:r>
      <w:proofErr w:type="spellStart"/>
      <w:r w:rsidRPr="008C0D94">
        <w:rPr>
          <w:rFonts w:ascii="Times New Roman" w:eastAsia="Times New Roman" w:hAnsi="Times New Roman" w:cs="Times New Roman"/>
          <w:b/>
          <w:sz w:val="24"/>
          <w:szCs w:val="24"/>
        </w:rPr>
        <w:t>OPAs</w:t>
      </w:r>
      <w:proofErr w:type="spellEnd"/>
      <w:r w:rsidRPr="008C0D94">
        <w:rPr>
          <w:rFonts w:ascii="Times New Roman" w:eastAsia="Times New Roman" w:hAnsi="Times New Roman" w:cs="Times New Roman"/>
          <w:b/>
          <w:sz w:val="24"/>
          <w:szCs w:val="24"/>
        </w:rPr>
        <w:t>, Una Mirada Económica, Legal y Estratégica</w:t>
      </w:r>
    </w:p>
    <w:p w14:paraId="1F5F4871" w14:textId="77777777" w:rsidR="008C0D94" w:rsidRDefault="008C0D94" w:rsidP="008C0D94">
      <w:pPr>
        <w:jc w:val="center"/>
        <w:rPr>
          <w:rFonts w:ascii="Times New Roman" w:hAnsi="Times New Roman" w:cs="Times New Roman"/>
          <w:sz w:val="24"/>
          <w:szCs w:val="24"/>
        </w:rPr>
      </w:pPr>
    </w:p>
    <w:p w14:paraId="7A8007B5" w14:textId="77777777" w:rsidR="001A582D" w:rsidRDefault="001A582D" w:rsidP="008C0D94">
      <w:pPr>
        <w:jc w:val="center"/>
        <w:rPr>
          <w:rFonts w:ascii="Times New Roman" w:hAnsi="Times New Roman" w:cs="Times New Roman"/>
          <w:sz w:val="24"/>
          <w:szCs w:val="24"/>
        </w:rPr>
      </w:pPr>
    </w:p>
    <w:p w14:paraId="5762CAA3" w14:textId="77777777" w:rsidR="001A582D" w:rsidRDefault="001A582D" w:rsidP="008C0D94">
      <w:pPr>
        <w:jc w:val="center"/>
        <w:rPr>
          <w:rFonts w:ascii="Times New Roman" w:hAnsi="Times New Roman" w:cs="Times New Roman"/>
          <w:sz w:val="24"/>
          <w:szCs w:val="24"/>
        </w:rPr>
      </w:pPr>
    </w:p>
    <w:p w14:paraId="3C33AA15" w14:textId="77777777" w:rsidR="001A582D" w:rsidRDefault="001A582D" w:rsidP="008C0D94">
      <w:pPr>
        <w:jc w:val="center"/>
        <w:rPr>
          <w:rFonts w:ascii="Times New Roman" w:hAnsi="Times New Roman" w:cs="Times New Roman"/>
          <w:sz w:val="24"/>
          <w:szCs w:val="24"/>
        </w:rPr>
      </w:pPr>
    </w:p>
    <w:p w14:paraId="33AD1A85" w14:textId="77777777" w:rsidR="001A582D" w:rsidRDefault="001A582D" w:rsidP="008C0D94">
      <w:pPr>
        <w:jc w:val="center"/>
        <w:rPr>
          <w:rFonts w:ascii="Times New Roman" w:hAnsi="Times New Roman" w:cs="Times New Roman"/>
          <w:sz w:val="24"/>
          <w:szCs w:val="24"/>
        </w:rPr>
      </w:pPr>
    </w:p>
    <w:p w14:paraId="18FF371D" w14:textId="77777777" w:rsidR="001A582D" w:rsidRDefault="001A582D" w:rsidP="008C0D94">
      <w:pPr>
        <w:jc w:val="center"/>
        <w:rPr>
          <w:rFonts w:ascii="Times New Roman" w:hAnsi="Times New Roman" w:cs="Times New Roman"/>
          <w:sz w:val="24"/>
          <w:szCs w:val="24"/>
        </w:rPr>
      </w:pPr>
    </w:p>
    <w:p w14:paraId="2426741A" w14:textId="77777777" w:rsidR="001A582D" w:rsidRDefault="001A582D" w:rsidP="008C0D94">
      <w:pPr>
        <w:jc w:val="center"/>
        <w:rPr>
          <w:rFonts w:ascii="Times New Roman" w:hAnsi="Times New Roman" w:cs="Times New Roman"/>
          <w:sz w:val="24"/>
          <w:szCs w:val="24"/>
        </w:rPr>
      </w:pPr>
    </w:p>
    <w:p w14:paraId="6CA49359" w14:textId="77777777" w:rsidR="001A582D" w:rsidRPr="008C0D94" w:rsidRDefault="001A582D" w:rsidP="008C0D94">
      <w:pPr>
        <w:jc w:val="center"/>
        <w:rPr>
          <w:rFonts w:ascii="Times New Roman" w:hAnsi="Times New Roman" w:cs="Times New Roman"/>
          <w:sz w:val="24"/>
          <w:szCs w:val="24"/>
        </w:rPr>
      </w:pPr>
    </w:p>
    <w:p w14:paraId="256ADF5C" w14:textId="3D73A951" w:rsidR="008C0D94" w:rsidRPr="008C0D94" w:rsidRDefault="008C0D94" w:rsidP="008C0D94">
      <w:pPr>
        <w:jc w:val="center"/>
        <w:rPr>
          <w:rFonts w:ascii="Times New Roman" w:hAnsi="Times New Roman" w:cs="Times New Roman"/>
          <w:sz w:val="24"/>
          <w:szCs w:val="24"/>
        </w:rPr>
      </w:pPr>
      <w:bookmarkStart w:id="0" w:name="_Hlk65067898"/>
      <w:r w:rsidRPr="008C0D94">
        <w:rPr>
          <w:rFonts w:ascii="Times New Roman" w:hAnsi="Times New Roman" w:cs="Times New Roman"/>
          <w:sz w:val="24"/>
          <w:szCs w:val="24"/>
        </w:rPr>
        <w:t>Mariana Valencia Gutiérrez</w:t>
      </w:r>
    </w:p>
    <w:p w14:paraId="10078AC4" w14:textId="67E593A5" w:rsidR="008C0D94" w:rsidRPr="008C0D94" w:rsidRDefault="008C0D94" w:rsidP="008C0D94">
      <w:pPr>
        <w:jc w:val="center"/>
        <w:rPr>
          <w:rFonts w:ascii="Times New Roman" w:hAnsi="Times New Roman" w:cs="Times New Roman"/>
          <w:sz w:val="24"/>
          <w:szCs w:val="24"/>
        </w:rPr>
      </w:pPr>
      <w:r w:rsidRPr="008C0D94">
        <w:rPr>
          <w:rFonts w:ascii="Times New Roman" w:hAnsi="Times New Roman" w:cs="Times New Roman"/>
          <w:sz w:val="24"/>
          <w:szCs w:val="24"/>
        </w:rPr>
        <w:t>Alejandra Villa Torres</w:t>
      </w:r>
    </w:p>
    <w:p w14:paraId="0C63397A" w14:textId="77777777" w:rsidR="008C0D94" w:rsidRPr="008C0D94" w:rsidRDefault="008C0D94" w:rsidP="008C0D94">
      <w:pPr>
        <w:jc w:val="center"/>
        <w:rPr>
          <w:rFonts w:ascii="Times New Roman" w:hAnsi="Times New Roman" w:cs="Times New Roman"/>
          <w:sz w:val="24"/>
          <w:szCs w:val="24"/>
        </w:rPr>
      </w:pPr>
    </w:p>
    <w:p w14:paraId="55A0C09B" w14:textId="4827AE3E" w:rsidR="008C0D94" w:rsidRPr="008C0D94" w:rsidRDefault="008C0D94" w:rsidP="008C0D94">
      <w:pPr>
        <w:jc w:val="center"/>
        <w:rPr>
          <w:rFonts w:ascii="Times New Roman" w:hAnsi="Times New Roman" w:cs="Times New Roman"/>
          <w:sz w:val="24"/>
          <w:szCs w:val="24"/>
        </w:rPr>
      </w:pPr>
      <w:sdt>
        <w:sdtPr>
          <w:rPr>
            <w:rStyle w:val="Estilo7"/>
            <w:rFonts w:cs="Times New Roman"/>
            <w:szCs w:val="24"/>
          </w:rPr>
          <w:alias w:val="Tipo de documento"/>
          <w:tag w:val="Tipo de documento"/>
          <w:id w:val="1127737763"/>
          <w:placeholder>
            <w:docPart w:val="1467C074232E4D1688143B9FE55EAE0F"/>
          </w:placeholder>
          <w15:color w:val="008000"/>
          <w:dropDownList>
            <w:listItem w:displayText="Seleccione tipo de documento" w:value="Seleccione tipo de documento"/>
            <w:listItem w:displayText="Anteproyecto presentado" w:value="Anteproyecto presentado"/>
            <w:listItem w:displayText="Artículo de investigación presentado" w:value="Artículo de investigación presentado"/>
            <w:listItem w:displayText="Artículo de reflexión presentado" w:value="Artículo de reflexión presentado"/>
            <w:listItem w:displayText="Artículo de revisión presentado" w:value="Artículo de revisión presentado"/>
            <w:listItem w:displayText="Balance historiográfico presentado" w:value="Balance historiográfico presentado"/>
            <w:listItem w:displayText="Cartilla presentada" w:value="Cartilla presentada"/>
            <w:listItem w:displayText="Compilación y edición crítica de fuentes documentales presentada" w:value="Compilación y edición crítica de fuentes documentales presentada"/>
            <w:listItem w:displayText="Descripción y valoración de fuentes documentales presentado" w:value="Descripción y valoración de fuentes documentales presentado"/>
            <w:listItem w:displayText="Ensayo presentado" w:value="Ensayo presentado"/>
            <w:listItem w:displayText="Informe de pasantía en investigación presentado" w:value="Informe de pasantía en investigación presentado"/>
            <w:listItem w:displayText="Informe de práctica presentado" w:value="Informe de práctica presentado"/>
            <w:listItem w:displayText="Monografía presentada" w:value="Monografía presentada"/>
            <w:listItem w:displayText="Plan de negocio presentado" w:value="Plan de negocio presentado"/>
            <w:listItem w:displayText="Proyecto presentado" w:value="Proyecto presentado"/>
            <w:listItem w:displayText="Sistematitización de pasantía presentada" w:value="Sistematitización de pasantía presentada"/>
            <w:listItem w:displayText="Tesis de maestría presentada" w:value="Tesis de maestría presentada"/>
            <w:listItem w:displayText="Tesis doctoral presentada" w:value="Tesis doctoral presentada"/>
            <w:listItem w:displayText="Trabajo de grado presentado" w:value="Trabajo de grado presentado"/>
            <w:listItem w:displayText="Trabajo de investigación presentado" w:value="Trabajo de investigación presentado"/>
          </w:dropDownList>
        </w:sdtPr>
        <w:sdtEndPr>
          <w:rPr>
            <w:rStyle w:val="Fuentedeprrafopredeter"/>
          </w:rPr>
        </w:sdtEndPr>
        <w:sdtContent>
          <w:r w:rsidRPr="008C0D94">
            <w:rPr>
              <w:rStyle w:val="Estilo7"/>
              <w:rFonts w:cs="Times New Roman"/>
              <w:szCs w:val="24"/>
            </w:rPr>
            <w:t>Trabajo de grado presentado</w:t>
          </w:r>
        </w:sdtContent>
      </w:sdt>
      <w:r w:rsidRPr="008C0D94">
        <w:rPr>
          <w:rFonts w:ascii="Times New Roman" w:hAnsi="Times New Roman" w:cs="Times New Roman"/>
          <w:sz w:val="24"/>
          <w:szCs w:val="24"/>
        </w:rPr>
        <w:t xml:space="preserve"> para optar al título de</w:t>
      </w:r>
      <w:bookmarkStart w:id="1" w:name="_Hlk68542115"/>
      <w:r w:rsidRPr="008C0D94">
        <w:rPr>
          <w:rFonts w:ascii="Times New Roman" w:hAnsi="Times New Roman" w:cs="Times New Roman"/>
          <w:sz w:val="24"/>
          <w:szCs w:val="24"/>
        </w:rPr>
        <w:t xml:space="preserve"> </w:t>
      </w:r>
      <w:sdt>
        <w:sdtPr>
          <w:rPr>
            <w:rStyle w:val="TextocomentarioCar"/>
            <w:rFonts w:ascii="Times New Roman" w:hAnsi="Times New Roman" w:cs="Times New Roman"/>
            <w:sz w:val="24"/>
            <w:szCs w:val="24"/>
          </w:rPr>
          <w:alias w:val="Título académico otorgado"/>
          <w:tag w:val="Título"/>
          <w:id w:val="1797025765"/>
          <w:placeholder>
            <w:docPart w:val="A31C34D91C6B4C86B74CDAE832D92714"/>
          </w:placeholder>
          <w15:color w:val="008000"/>
          <w:dropDownList>
            <w:listItem w:displayText="Seleccione título otorgado por UdeA (A-Z)" w:value="Seleccione título otorgado por UdeA (A-Z)"/>
            <w:listItem w:displayText="Abogado" w:value="Abogado"/>
            <w:listItem w:displayText="Administrador Ambiental y Sanitario" w:value="Administrador Ambiental y Sanitario"/>
            <w:listItem w:displayText="Administrador de Empresas" w:value="Administrador de Empresas"/>
            <w:listItem w:displayText="Administrador en Salud" w:value="Administrador en Salud"/>
            <w:listItem w:displayText="Antropólogo" w:value="Antropólogo"/>
            <w:listItem w:displayText="Archivista" w:value="Archivista"/>
            <w:listItem w:displayText="Astrónomo" w:value="Astrónomo"/>
            <w:listItem w:displayText="Bibliotecólogo" w:value="Bibliotecólogo"/>
            <w:listItem w:displayText="Bioingeniero" w:value="Bioingeniero"/>
            <w:listItem w:displayText="Biólogo" w:value="Biólogo"/>
            <w:listItem w:displayText="Comunicador" w:value="Comunicador"/>
            <w:listItem w:displayText="Comunicador Audiovisual y Multimedial" w:value="Comunicador Audiovisual y Multimedial"/>
            <w:listItem w:displayText="Comunicador Social - Periodista" w:value="Comunicador Social - Periodista"/>
            <w:listItem w:displayText="Contador Público" w:value="Contador Público"/>
            <w:listItem w:displayText="Doctor en Administración y Organizaciones" w:value="Doctor en Administración y Organizaciones"/>
            <w:listItem w:displayText="Doctor en Artes" w:value="Doctor en Artes"/>
            <w:listItem w:displayText="Doctor en Biología" w:value="Doctor en Biología"/>
            <w:listItem w:displayText="Doctor en Biotecnología" w:value="Doctor en Biotecnología"/>
            <w:listItem w:displayText="Doctor en Ciencias Animales" w:value="Doctor en Ciencias Animales"/>
            <w:listItem w:displayText="Doctor en Ciencias del Mar" w:value="Doctor en Ciencias del Mar"/>
            <w:listItem w:displayText="Doctor en Ciencias Farmacéuticas y Alimentarias" w:value="Doctor en Ciencias Farmacéuticas y Alimentarias"/>
            <w:listItem w:displayText="Doctor en Ciencias Odontológicas" w:value="Doctor en Ciencias Odontológicas"/>
            <w:listItem w:displayText="Doctor en Ciencias Químicas" w:value="Doctor en Ciencias Químicas"/>
            <w:listItem w:displayText="Doctor en Ciencias Sociales" w:value="Doctor en Ciencias Sociales"/>
            <w:listItem w:displayText="Doctor en Ciencias Veterinarias" w:value="Doctor en Ciencias Veterinarias"/>
            <w:listItem w:displayText="Doctor en Derecho" w:value="Doctor en Derecho"/>
            <w:listItem w:displayText="Doctor en Educación" w:value="Doctor en Educación"/>
            <w:listItem w:displayText="Doctor en Educación Física" w:value="Doctor en Educación Física"/>
            <w:listItem w:displayText="Doctor en Enfermería" w:value="Doctor en Enfermería"/>
            <w:listItem w:displayText="Doctor en Epidemiología" w:value="Doctor en Epidemiología"/>
            <w:listItem w:displayText="Doctor en Estudios Socioespaciales" w:value="Doctor en Estudios Socioespaciales"/>
            <w:listItem w:displayText="Doctor en Filosofía" w:value="Doctor en Filosofía"/>
            <w:listItem w:displayText="Doctor en Física" w:value="Doctor en Física"/>
            <w:listItem w:displayText="Doctor en Ingeniería Ambiental" w:value="Doctor en Ingeniería Ambiental"/>
            <w:listItem w:displayText="Doctor en Ingeniería de Materiales" w:value="Doctor en Ingeniería de Materiales"/>
            <w:listItem w:displayText="Doctor en Ingeniería Electrónica y de Computación" w:value="Doctor en Ingeniería Electrónica y de Computación"/>
            <w:listItem w:displayText="Doctor en Ingeniería Química" w:value="Doctor en Ingeniería Química"/>
            <w:listItem w:displayText="Doctor en Lingüística" w:value="Doctor en Lingüística"/>
            <w:listItem w:displayText="Doctor en Literatura" w:value="Doctor en Literatura"/>
            <w:listItem w:displayText="Doctor en Matemáticas" w:value="Doctor en Matemáticas"/>
            <w:listItem w:displayText="Doctor en Medicina Clínica" w:value="Doctor en Medicina Clínica"/>
            <w:listItem w:displayText="Doctor en Microbiología" w:value="Doctor en Microbiología"/>
            <w:listItem w:displayText="Doctor en Psicoanálisis" w:value="Doctor en Psicoanálisis"/>
            <w:listItem w:displayText="Doctor en Salud Pública" w:value="Doctor en Salud Pública"/>
            <w:listItem w:displayText="Ecológo de Zonas Costeras" w:value="Ecológo de Zonas Costeras"/>
            <w:listItem w:displayText="Economista" w:value="Economista"/>
            <w:listItem w:displayText="Enfermero" w:value="Enfermero"/>
            <w:listItem w:displayText="Epidemiólogo Clínico" w:value="Epidemiólogo Clínico"/>
            <w:listItem w:displayText="Especialista Clínico en Endodoncia" w:value="Especialista Clínico en Endodoncia"/>
            <w:listItem w:displayText="Especialista Clínico en Odontología Integral del Adulto" w:value="Especialista Clínico en Odontología Integral del Adulto"/>
            <w:listItem w:displayText="Especialista Clínico en Ortodoncia" w:value="Especialista Clínico en Ortodoncia"/>
            <w:listItem w:displayText="Especialista Clínico en Ortopedia Maxilar" w:value="Especialista Clínico en Ortopedia Maxilar"/>
            <w:listItem w:displayText="Especialista en Administración de Servicios de Salud" w:value="Especialista en Administración de Servicios de Salud"/>
            <w:listItem w:displayText="Especialista en Administración Deportiva" w:value="Especialista en Administración Deportiva"/>
            <w:listItem w:displayText="Especialista en Aleorgología Clínica" w:value="Especialista en Aleorgología Clínica"/>
            <w:listItem w:displayText="Especialista en Análisis y Diseño de Estructuras" w:value="Especialista en Análisis y Diseño de Estructuras"/>
            <w:listItem w:displayText="Especialista en Analítica y Ciencia de Datos" w:value="Especialista en Analítica y Ciencia de Datos"/>
            <w:listItem w:displayText="Especialista en Anestesiología y Reanimación" w:value="Especialista en Anestesiología y Reanimación"/>
            <w:listItem w:displayText="Especialista en Auditoría en Salud" w:value="Especialista en Auditoría en Salud"/>
            <w:listItem w:displayText="Especialista en Auditoría y Control de Gestión" w:value="Especialista en Auditoría y Control de Gestión"/>
            <w:listItem w:displayText="Especialista en Café" w:value="Especialista en Café"/>
            <w:listItem w:displayText="Especialista en Cardiología Clínica" w:value="Especialista en Cardiología Clínica"/>
            <w:listItem w:displayText="Especialista en Cirugía de Cabeza y Cuello" w:value="Especialista en Cirugía de Cabeza y Cuello"/>
            <w:listItem w:displayText="Especialista en Cirugía de Trasplantes" w:value="Especialista en Cirugía de Trasplantes"/>
            <w:listItem w:displayText="Especialista en Cirugía General" w:value="Especialista en Cirugía General"/>
            <w:listItem w:displayText="Especialista en Cirugía Oncológica" w:value="Especialista en Cirugía Oncológica"/>
            <w:listItem w:displayText="Especialista en Cirugía Oral y Maxilofacial" w:value="Especialista en Cirugía Oral y Maxilofacial"/>
            <w:listItem w:displayText="Especialista en Cirugía Pediátrica" w:value="Especialista en Cirugía Pediátrica"/>
            <w:listItem w:displayText="Especialista en Cirugía Plástica, Maxilofacial y de la Mano" w:value="Especialista en Cirugía Plástica, Maxilofacial y de la Mano"/>
            <w:listItem w:displayText="Especialista en Cirugía Vascular" w:value="Especialista en Cirugía Vascular"/>
            <w:listItem w:displayText="Especialista en Cuidado en Enfermería al Paciente con Cáncer y su Familia" w:value="Especialista en Cuidado en Enfermería al Paciente con Cáncer y su Familia"/>
            <w:listItem w:displayText="Especialista en Derecho Administrativo" w:value="Especialista en Derecho Administrativo"/>
            <w:listItem w:displayText="Especialista en Derecho de la Seguridad Social" w:value="Especialista en Derecho de la Seguridad Social"/>
            <w:listItem w:displayText="Especialista en Derecho Privado" w:value="Especialista en Derecho Privado"/>
            <w:listItem w:displayText="Especialista en Derecho Procesal" w:value="Especialista en Derecho Procesal"/>
            <w:listItem w:displayText="Especialista en Derecho Urbanístico" w:value="Especialista en Derecho Urbanístico"/>
            <w:listItem w:displayText="Especialista en Derechos Humanos y Derecho Internacional Humanitario" w:value="Especialista en Derechos Humanos y Derecho Internacional Humanitario"/>
            <w:listItem w:displayText="Especialista en Dermatología" w:value="Especialista en Dermatología"/>
            <w:listItem w:displayText="Especialista en Diseño Mecánico" w:value="Especialista en Diseño Mecánico"/>
            <w:listItem w:displayText="Especialista en Edición de Publicaciones" w:value="Especialista en Edición de Publicaciones"/>
            <w:listItem w:displayText="Especialista en Educación Física. Entrenamiento Deportivo" w:value="Especialista en Educación Física. Entrenamiento Deportivo"/>
            <w:listItem w:displayText="Especialista en Educación Física: Actividad Física y Salud" w:value="Especialista en Educación Física: Actividad Física y Salud"/>
            <w:listItem w:displayText="Especialista en Eficiencia Energética" w:value="Especialista en Eficiencia Energética"/>
            <w:listItem w:displayText="Especialista en Endocrinología Clínica y Metabolismo" w:value="Especialista en Endocrinología Clínica y Metabolismo"/>
            <w:listItem w:displayText="Especialista en Endocrinología Pediátrica" w:value="Especialista en Endocrinología Pediátrica"/>
            <w:listItem w:displayText="Especialista en Enfermedades Infecciosas" w:value="Especialista en Enfermedades Infecciosas"/>
            <w:listItem w:displayText="Especialista en Enfermería en Cuidado al Adulto en Estado Crítico de Salud" w:value="Especialista en Enfermería en Cuidado al Adulto en Estado Crítico de Salud"/>
            <w:listItem w:displayText="Especialista en Enfermería en Cuidado al Niño en Estado Crítico de Salud" w:value="Especialista en Enfermería en Cuidado al Niño en Estado Crítico de Salud"/>
            <w:listItem w:displayText="Especialista en Ergonomía" w:value="Especialista en Ergonomía"/>
            <w:listItem w:displayText="Especialista en Evaluación Económica en Salud" w:value="Especialista en Evaluación Económica en Salud"/>
            <w:listItem w:displayText="Especialista en Evaluación Socioeconómica de Proyectos" w:value="Especialista en Evaluación Socioeconómica de Proyectos"/>
            <w:listItem w:displayText="Especialista en Extensión Rural" w:value="Especialista en Extensión Rural"/>
            <w:listItem w:displayText="Especialista en Finanzas" w:value="Especialista en Finanzas"/>
            <w:listItem w:displayText="Especialista en Gerencia de Mantenimiento" w:value="Especialista en Gerencia de Mantenimiento"/>
            <w:listItem w:displayText="Especialista en Gerencia de Servicios de Información" w:value="Especialista en Gerencia de Servicios de Información"/>
            <w:listItem w:displayText="Especialista en Gestión Ambiental" w:value="Especialista en Gestión Ambiental"/>
            <w:listItem w:displayText="Especialista en Gestión Tributaria" w:value="Especialista en Gestión Tributaria"/>
            <w:listItem w:displayText="Especialista en Hematología Clínica" w:value="Especialista en Hematología Clínica"/>
            <w:listItem w:displayText="Especialista en Hemodinámica, Cardiología Intervencionista y Vascular Periférico" w:value="Especialista en Hemodinámica, Cardiología Intervencionista y Vascular Periférico"/>
            <w:listItem w:displayText="Especialista en Hepatología Clínica" w:value="Especialista en Hepatología Clínica"/>
            <w:listItem w:displayText="Especialista en Imagen Corporal" w:value="Especialista en Imagen Corporal"/>
            <w:listItem w:displayText="Especialista en Literatura Comparada" w:value="Especialista en Literatura Comparada"/>
            <w:listItem w:displayText="Especialista en Logística Integral" w:value="Especialista en Logística Integral"/>
            <w:listItem w:displayText="Especialista en Manejo y Gestión del Agua" w:value="Especialista en Manejo y Gestión del Agua"/>
            <w:listItem w:displayText="Especialista en Medicina Aplicada a la Actividad Física y al Deporte" w:value="Especialista en Medicina Aplicada a la Actividad Física y al Deporte"/>
            <w:listItem w:displayText="Especialista en Medicina Crítica y Cuidados Intensivos" w:value="Especialista en Medicina Crítica y Cuidados Intensivos"/>
            <w:listItem w:displayText="Especialista en Medicina de Urgencias" w:value="Especialista en Medicina de Urgencias"/>
            <w:listItem w:displayText="Especialista en Medicina del Dolor" w:value="Especialista en Medicina del Dolor"/>
            <w:listItem w:displayText="Especialista en Medicina Física y Rehabilitación" w:value="Especialista en Medicina Física y Rehabilitación"/>
            <w:listItem w:displayText="Especialista en Medicina Interna" w:value="Especialista en Medicina Interna"/>
            <w:listItem w:displayText="Especialista en Medicina Vascular" w:value="Especialista en Medicina Vascular"/>
            <w:listItem w:displayText="Especialista en Medio Ambiente y Geoinformática" w:value="Especialista en Medio Ambiente y Geoinformática"/>
            <w:listItem w:displayText="Especialista en Nefrología" w:value="Especialista en Nefrología"/>
            <w:listItem w:displayText="Especialista en Neonatología" w:value="Especialista en Neonatología"/>
            <w:listItem w:displayText="Especialista en Neurocirugía" w:value="Especialista en Neurocirugía"/>
            <w:listItem w:displayText="Especialista en Neurología" w:value="Especialista en Neurología"/>
            <w:listItem w:displayText="Especialista en Neurología Infantil" w:value="Especialista en Neurología Infantil"/>
            <w:listItem w:displayText="Especialista en Neurorradiología" w:value="Especialista en Neurorradiología"/>
            <w:listItem w:displayText="Especialista en Obstetricia y Ginecología" w:value="Especialista en Obstetricia y Ginecología"/>
            <w:listItem w:displayText="Especialista en Oftalmología" w:value="Especialista en Oftalmología"/>
            <w:listItem w:displayText="Especialista en Ortopedia y Traumatología" w:value="Especialista en Ortopedia y Traumatología"/>
            <w:listItem w:displayText="Especialista en Otorrinolaringología y Cirugía de Cabeza y Cuello" w:value="Especialista en Otorrinolaringología y Cirugía de Cabeza y Cuello"/>
            <w:listItem w:displayText="Especialista en Patología" w:value="Especialista en Patología"/>
            <w:listItem w:displayText="Especialista en Pediatría" w:value="Especialista en Pediatría"/>
            <w:listItem w:displayText="Especialista en Preparación y Evaluación de Proyectos Privados" w:value="Especialista en Preparación y Evaluación de Proyectos Privados"/>
            <w:listItem w:displayText="Especialista en Problemas de la Infancia y de la Adolescencia" w:value="Especialista en Problemas de la Infancia y de la Adolescencia"/>
            <w:listItem w:displayText="Especialista en Psicología Organizacional" w:value="Especialista en Psicología Organizacional"/>
            <w:listItem w:displayText="Especialista en Psicopatología y Estructuras Clínicas" w:value="Especialista en Psicopatología y Estructuras Clínicas"/>
            <w:listItem w:displayText="Especialista en Psiquiatría" w:value="Especialista en Psiquiatría"/>
            <w:listItem w:displayText="Especialista en Psiquiatría Pediátrica" w:value="Especialista en Psiquiatría Pediátrica"/>
            <w:listItem w:displayText="Especialista en Radiología" w:value="Especialista en Radiología"/>
            <w:listItem w:displayText="Especialista en Radiología de Trauma y Urgencias" w:value="Especialista en Radiología de Trauma y Urgencias"/>
            <w:listItem w:displayText="Especialista en Radiología Intervencionista" w:value="Especialista en Radiología Intervencionista"/>
            <w:listItem w:displayText="Especialista en Refrigeración y Climatización" w:value="Especialista en Refrigeración y Climatización"/>
            <w:listItem w:displayText="Especialista en Reumatología" w:value="Especialista en Reumatología"/>
            <w:listItem w:displayText="Especialista en Salud Ambiental" w:value="Especialista en Salud Ambiental"/>
            <w:listItem w:displayText="Especialista en Seguridad y Salud en el Trabajo" w:value="Especialista en Seguridad y Salud en el Trabajo"/>
            <w:listItem w:displayText="Especialista en Sistemas de Gestión de Calidad de Inocuidad Agroalimentaria" w:value="Especialista en Sistemas de Gestión de Calidad de Inocuidad Agroalimentaria"/>
            <w:listItem w:displayText="Especialista en Sistemas de Gestión de Calidad e Inocuidad Agroalimentaria" w:value="Especialista en Sistemas de Gestión de Calidad e Inocuidad Agroalimentaria"/>
            <w:listItem w:displayText="Especialista en Soldadura" w:value="Especialista en Soldadura"/>
            <w:listItem w:displayText="Especialista en Técnica Vocal para Actores" w:value="Especialista en Técnica Vocal para Actores"/>
            <w:listItem w:displayText="Especialista en Teorías, Métodos y Técnicas en Investigación Social" w:value="Especialista en Teorías, Métodos y Técnicas en Investigación Social"/>
            <w:listItem w:displayText="Especialista en Toxicología Clínica" w:value="Especialista en Toxicología Clínica"/>
            <w:listItem w:displayText="Especialista en Urología" w:value="Especialista en Urología"/>
            <w:listItem w:displayText="Especialista Tecnológico en Regencia de Farmacia" w:value="Especialista Tecnológico en Regencia de Farmacia"/>
            <w:listItem w:displayText="Estadístico" w:value="Estadístico"/>
            <w:listItem w:displayText="Filólogo Hispanista" w:value="Filólogo Hispanista"/>
            <w:listItem w:displayText="Filósofo" w:value="Filósofo"/>
            <w:listItem w:displayText="Físico" w:value="Físico"/>
            <w:listItem w:displayText="Gestor en Ecología y Turismo" w:value="Gestor en Ecología y Turismo"/>
            <w:listItem w:displayText="Historiador" w:value="Historiador"/>
            <w:listItem w:displayText="Ingeniero Aeroespacial" w:value="Ingeniero Aeroespacial"/>
            <w:listItem w:displayText="Ingeniero Agroindustrial" w:value="Ingeniero Agroindustrial"/>
            <w:listItem w:displayText="Ingeniero Agropecuario" w:value="Ingeniero Agropecuario"/>
            <w:listItem w:displayText="Ingeniero Ambiental" w:value="Ingeniero Ambiental"/>
            <w:listItem w:displayText="Ingeniero Bioquímico" w:value="Ingeniero Bioquímico"/>
            <w:listItem w:displayText="Ingeniero Civil" w:value="Ingeniero Civil"/>
            <w:listItem w:displayText="Ingeniero de Alimentos" w:value="Ingeniero de Alimentos"/>
            <w:listItem w:displayText="Ingeniero de Materiales" w:value="Ingeniero de Materiales"/>
            <w:listItem w:displayText="Ingeniero de Sistemas" w:value="Ingeniero de Sistemas"/>
            <w:listItem w:displayText="Ingeniero de Telecomunicaciones" w:value="Ingeniero de Telecomunicaciones"/>
            <w:listItem w:displayText="Ingeniero Eléctrico" w:value="Ingeniero Eléctrico"/>
            <w:listItem w:displayText="Ingeniero Electrónico" w:value="Ingeniero Electrónico"/>
            <w:listItem w:displayText="Ingeniero Energético" w:value="Ingeniero Energético"/>
            <w:listItem w:displayText="Ingeniero Industrial" w:value="Ingeniero Industrial"/>
            <w:listItem w:displayText="Ingeniero Mecánico" w:value="Ingeniero Mecánico"/>
            <w:listItem w:displayText="Ingeniero Oceanográfico" w:value="Ingeniero Oceanográfico"/>
            <w:listItem w:displayText="Ingeniero Químico" w:value="Ingeniero Químico"/>
            <w:listItem w:displayText="Ingeniero Sanitario" w:value="Ingeniero Sanitario"/>
            <w:listItem w:displayText="Ingeniero Urbano" w:value="Ingeniero Urbano"/>
            <w:listItem w:displayText="Instrumentandor Quirúrgico" w:value="Instrumentandor Quirúrgico"/>
            <w:listItem w:displayText="Licenciado en Arte Escénicas" w:value="Licenciado en Arte Escénicas"/>
            <w:listItem w:displayText="Licenciado en Artes Plásticas" w:value="Licenciado en Artes Plásticas"/>
            <w:listItem w:displayText="Licenciado en Ciencias Naturales" w:value="Licenciado en Ciencias Naturales"/>
            <w:listItem w:displayText="Licenciado en Ciencias Sociales" w:value="Licenciado en Ciencias Sociales"/>
            <w:listItem w:displayText="Licenciado en Educación Básica Primaria" w:value="Licenciado en Educación Básica Primaria"/>
            <w:listItem w:displayText="Licenciado en Educación Especial" w:value="Licenciado en Educación Especial"/>
            <w:listItem w:displayText="Licenciado en Educación Física" w:value="Licenciado en Educación Física"/>
            <w:listItem w:displayText="Licenciado en Educación Infantil" w:value="Licenciado en Educación Infantil"/>
            <w:listItem w:displayText="Licenciado en Filosofía" w:value="Licenciado en Filosofía"/>
            <w:listItem w:displayText="Licenciado en Física" w:value="Licenciado en Física"/>
            <w:listItem w:displayText="Licenciado en Lenguas Extranjeras con Énfasis en Inglés y Francés" w:value="Licenciado en Lenguas Extranjeras con Énfasis en Inglés y Francés"/>
            <w:listItem w:displayText="Licenciado en Literatura y Lengua Castellana" w:value="Licenciado en Literatura y Lengua Castellana"/>
            <w:listItem w:displayText="Licenciado en Matemáticas" w:value="Licenciado en Matemáticas"/>
            <w:listItem w:displayText="Licenciado en Música" w:value="Licenciado en Música"/>
            <w:listItem w:displayText="Licenciado en Pedagogía de la Madre Tierra" w:value="Licenciado en Pedagogía de la Madre Tierra"/>
            <w:listItem w:displayText="Licenciando en Danzas" w:value="Licenciando en Danzas"/>
            <w:listItem w:displayText="Maestro en Arte Drámatico" w:value="Maestro en Arte Drámatico"/>
            <w:listItem w:displayText="Maestro en Artes Plásticas" w:value="Maestro en Artes Plásticas"/>
            <w:listItem w:displayText="Maestro en Canto Lírico" w:value="Maestro en Canto Lírico"/>
            <w:listItem w:displayText="Maestro en Canto Popular" w:value="Maestro en Canto Popular"/>
            <w:listItem w:displayText="Maestro en Música" w:value="Maestro en Música"/>
            <w:listItem w:displayText="Magíster en Administración" w:value="Magíster en Administración"/>
            <w:listItem w:displayText="Magíster en Administración Hospitalaria" w:value="Magíster en Administración Hospitalaria"/>
            <w:listItem w:displayText="Magíster en Agronegocios" w:value="Magíster en Agronegocios"/>
            <w:listItem w:displayText="Magíster en Antropología" w:value="Magíster en Antropología"/>
            <w:listItem w:displayText="Magíster en Artes" w:value="Magíster en Artes"/>
            <w:listItem w:displayText="Magíster en Biología" w:value="Magíster en Biología"/>
            <w:listItem w:displayText="Magíster en Biotecnología" w:value="Magíster en Biotecnología"/>
            <w:listItem w:displayText="Magíster en Ciencia de la Información" w:value="Magíster en Ciencia de la Información"/>
            <w:listItem w:displayText="Magíster en Ciencia Política" w:value="Magíster en Ciencia Política"/>
            <w:listItem w:displayText="Magíster en Ciencias Ambientales" w:value="Magíster en Ciencias Ambientales"/>
            <w:listItem w:displayText="Magíster en Ciencias Animales" w:value="Magíster en Ciencias Animales"/>
            <w:listItem w:displayText="Magíster en Ciencias de la Alimentación y Nutrición Humana" w:value="Magíster en Ciencias de la Alimentación y Nutrición Humana"/>
            <w:listItem w:displayText="Magíster en Ciencias del Deporte y la Actividad Física" w:value="Magíster en Ciencias del Deporte y la Actividad Física"/>
            <w:listItem w:displayText="Magíster en Ciencias del Mar" w:value="Magíster en Ciencias del Mar"/>
            <w:listItem w:displayText="Magíster en Ciencias Farmacéuticas y Alimentarias" w:value="Magíster en Ciencias Farmacéuticas y Alimentarias"/>
            <w:listItem w:displayText="Magíster en Ciencias Odontológicas" w:value="Magíster en Ciencias Odontológicas"/>
            <w:listItem w:displayText="Magíster en Ciencias Químicas" w:value="Magíster en Ciencias Químicas"/>
            <w:listItem w:displayText="Magíster en Ciencias Veterinarias" w:value="Magíster en Ciencias Veterinarias"/>
            <w:listItem w:displayText="Magíster en Comunicaciones" w:value="Magíster en Comunicaciones"/>
            <w:listItem w:displayText="Magíster en Contabilidad Financiera y de Gestión" w:value="Magíster en Contabilidad Financiera y de Gestión"/>
            <w:listItem w:displayText="Magíster en Control Organizacional" w:value="Magíster en Control Organizacional"/>
            <w:listItem w:displayText="Magíster en Creación y Estudios Audiovisuales" w:value="Magíster en Creación y Estudios Audiovisuales"/>
            <w:listItem w:displayText="Magíster en Derecho" w:value="Magíster en Derecho"/>
            <w:listItem w:displayText="Magíster en Dramaturgia y Dirección" w:value="Magíster en Dramaturgia y Dirección"/>
            <w:listItem w:displayText="Magíster en Economía" w:value="Magíster en Economía"/>
            <w:listItem w:displayText="Magíster en Educación" w:value="Magíster en Educación"/>
            <w:listItem w:displayText="Magíster en Educación en Ciencias Sociales" w:value="Magíster en Educación en Ciencias Sociales"/>
            <w:listItem w:displayText="Magíster en Educación Superior en Salud" w:value="Magíster en Educación Superior en Salud"/>
            <w:listItem w:displayText="Magíster en Enfermería" w:value="Magíster en Enfermería"/>
            <w:listItem w:displayText="Magíster en Enseñanza de las Matemáticas" w:value="Magíster en Enseñanza de las Matemáticas"/>
            <w:listItem w:displayText="Magíster en Enseñanza y Aprendizaje de las Lenguas Extranjeras" w:value="Magíster en Enseñanza y Aprendizaje de las Lenguas Extranjeras"/>
            <w:listItem w:displayText="Magíster en Epidemiología" w:value="Magíster en Epidemiología"/>
            <w:listItem w:displayText="Magíster en Estudios en Infancia" w:value="Magíster en Estudios en Infancia"/>
            <w:listItem w:displayText="Magíster en Estudios Socioespaciales" w:value="Magíster en Estudios Socioespaciales"/>
            <w:listItem w:displayText="Magíster en Filosofía" w:value="Magíster en Filosofía"/>
            <w:listItem w:displayText="Magíster en Finanzas" w:value="Magíster en Finanzas"/>
            <w:listItem w:displayText="Magíster en Física" w:value="Magíster en Física"/>
            <w:listItem w:displayText="Magíster en Gerencia de Proyectos" w:value="Magíster en Gerencia de Proyectos"/>
            <w:listItem w:displayText="Magíster en Gestión Ambiental" w:value="Magíster en Gestión Ambiental"/>
            <w:listItem w:displayText="Magíster en Gestión de Ciencia, Tecnología e Innovación" w:value="Magíster en Gestión de Ciencia, Tecnología e Innovación"/>
            <w:listItem w:displayText="Magíster en Gestión Humana" w:value="Magíster en Gestión Humana"/>
            <w:listItem w:displayText="Magíster en Historia" w:value="Magíster en Historia"/>
            <w:listItem w:displayText="Magíster en Historia del Arte" w:value="Magíster en Historia del Arte"/>
            <w:listItem w:displayText="Magíster en Ingeniería" w:value="Magíster en Ingeniería"/>
            <w:listItem w:displayText="Magíster en Ingeniería Ambiental" w:value="Magíster en Ingeniería Ambiental"/>
            <w:listItem w:displayText="Magíster en Ingeniería de Materiales" w:value="Magíster en Ingeniería de Materiales"/>
            <w:listItem w:displayText="Magíster en Ingeniería de Telecomunicaciones" w:value="Magíster en Ingeniería de Telecomunicaciones"/>
            <w:listItem w:displayText="Magíster en Ingeniería Mecánica" w:value="Magíster en Ingeniería Mecánica"/>
            <w:listItem w:displayText="Magíster en Ingeniería Química" w:value="Magíster en Ingeniería Química"/>
            <w:listItem w:displayText="Magíster en Intervención Social" w:value="Magíster en Intervención Social"/>
            <w:listItem w:displayText="Magíster en Investigación Psicoanalítica" w:value="Magíster en Investigación Psicoanalítica"/>
            <w:listItem w:displayText="Magíster en Lingüística" w:value="Magíster en Lingüística"/>
            <w:listItem w:displayText="Magíster en Literatura" w:value="Magíster en Literatura"/>
            <w:listItem w:displayText="Magíster en Logística Integral" w:value="Magíster en Logística Integral"/>
            <w:listItem w:displayText="Magíster en Matemáticas" w:value="Magíster en Matemáticas"/>
            <w:listItem w:displayText="Magíster en Métodos Cuantitativos para Economía y Finanzas" w:value="Magíster en Métodos Cuantitativos para Economía y Finanzas"/>
            <w:listItem w:displayText="Magíster en Microbiología" w:value="Magíster en Microbiología"/>
            <w:listItem w:displayText="Magíster en Motricidad – Desarrollo Humano" w:value="Magíster en Motricidad – Desarrollo Humano"/>
            <w:listItem w:displayText="Magíster en Músicas de América Latina y el Caribe" w:value="Magíster en Músicas de América Latina y el Caribe"/>
            <w:listItem w:displayText="Magíster en Periodismo" w:value="Magíster en Periodismo"/>
            <w:listItem w:displayText="Magíster en Políticas Públicas" w:value="Magíster en Políticas Públicas"/>
            <w:listItem w:displayText="Magíster en Psicología" w:value="Magíster en Psicología"/>
            <w:listItem w:displayText="Magíster en Salud Ambiental" w:value="Magíster en Salud Ambiental"/>
            <w:listItem w:displayText="Magíster en Salud Colectiva" w:value="Magíster en Salud Colectiva"/>
            <w:listItem w:displayText="Magíster en Salud Mental" w:value="Magíster en Salud Mental"/>
            <w:listItem w:displayText="Magíster en Salud Pública" w:value="Magíster en Salud Pública"/>
            <w:listItem w:displayText="Magíster en Seguridad y Salud en el Trabajo" w:value="Magíster en Seguridad y Salud en el Trabajo"/>
            <w:listItem w:displayText="Magíster en Sociología" w:value="Magíster en Sociología"/>
            <w:listItem w:displayText="Magíster en Telesalud" w:value="Magíster en Telesalud"/>
            <w:listItem w:displayText="Magíster en Terapia Familiar y de Pareja" w:value="Magíster en Terapia Familiar y de Pareja"/>
            <w:listItem w:displayText="Magíster en Traducción" w:value="Magíster en Traducción"/>
            <w:listItem w:displayText="Matemático" w:value="Matemático"/>
            <w:listItem w:displayText="Médico Veterinario" w:value="Médico Veterinario"/>
            <w:listItem w:displayText="Médico y Cirujano" w:value="Médico y Cirujano"/>
            <w:listItem w:displayText="Microbiólogo Industrial y Ambiental" w:value="Microbiólogo Industrial y Ambiental"/>
            <w:listItem w:displayText="Microbiólogo y Bioanalista" w:value="Microbiólogo y Bioanalista"/>
            <w:listItem w:displayText="Nutricionista Dietista" w:value="Nutricionista Dietista"/>
            <w:listItem w:displayText="Oceanógrafo" w:value="Oceanógrafo"/>
            <w:listItem w:displayText="Odontólogo" w:value="Odontólogo"/>
            <w:listItem w:displayText="Pedagogo" w:value="Pedagogo"/>
            <w:listItem w:displayText="Periodista" w:value="Periodista"/>
            <w:listItem w:displayText="Politólogo" w:value="Politólogo"/>
            <w:listItem w:displayText="Profesional en Ciencias Culinarias" w:value="Profesional en Ciencias Culinarias"/>
            <w:listItem w:displayText="Profesional en Desarrollo Territorial" w:value="Profesional en Desarrollo Territorial"/>
            <w:listItem w:displayText="Profesional en Entrenamiento Deportivo" w:value="Profesional en Entrenamiento Deportivo"/>
            <w:listItem w:displayText="Profesional en Gerencia de Sistemas de Información en Salud" w:value="Profesional en Gerencia de Sistemas de Información en Salud"/>
            <w:listItem w:displayText="Profesional en Gestión Cultural" w:value="Profesional en Gestión Cultural"/>
            <w:listItem w:displayText="Psicólogo" w:value="Psicólogo"/>
            <w:listItem w:displayText="Químico" w:value="Químico"/>
            <w:listItem w:displayText="Químico Farmacéutico" w:value="Químico Farmacéutico"/>
            <w:listItem w:displayText="Sociólogo" w:value="Sociólogo"/>
            <w:listItem w:displayText="Técnico Profesional en Atención Prehospitalaria" w:value="Técnico Profesional en Atención Prehospitalaria"/>
            <w:listItem w:displayText="Tecnólogo Biomédico" w:value="Tecnólogo Biomédico"/>
            <w:listItem w:displayText="Tecnólogo de Alimentos" w:value="Tecnólogo de Alimentos"/>
            <w:listItem w:displayText="Tecnólogo en Administración de Servicios de Salud" w:value="Tecnólogo en Administración de Servicios de Salud"/>
            <w:listItem w:displayText="Tecnólogo en Artesanías" w:value="Tecnólogo en Artesanías"/>
            <w:listItem w:displayText="Tecnólogo en Gestión de Insumos Agropecuarios" w:value="Tecnólogo en Gestión de Insumos Agropecuarios"/>
            <w:listItem w:displayText="Tecnólogo en Joyería" w:value="Tecnólogo en Joyería"/>
            <w:listItem w:displayText="Tecnólogo en Regencia de Farmacia" w:value="Tecnólogo en Regencia de Farmacia"/>
            <w:listItem w:displayText="Tecnólogo en Saneamiento Ambiental" w:value="Tecnólogo en Saneamiento Ambiental"/>
            <w:listItem w:displayText="Tecnólogo en Sistemas de Información en Salud" w:value="Tecnólogo en Sistemas de Información en Salud"/>
            <w:listItem w:displayText="Tecnólogo Químico" w:value="Tecnólogo Químico"/>
            <w:listItem w:displayText="Trabajador Social" w:value="Trabajador Social"/>
            <w:listItem w:displayText="Traductor Inglés - Francés - Español" w:value="Traductor Inglés - Francés - Español"/>
            <w:listItem w:displayText="Zootecnista" w:value="Zootecnista"/>
          </w:dropDownList>
        </w:sdtPr>
        <w:sdtEndPr>
          <w:rPr>
            <w:rStyle w:val="Fuentedeprrafopredeter"/>
          </w:rPr>
        </w:sdtEndPr>
        <w:sdtContent>
          <w:r w:rsidRPr="008C0D94">
            <w:rPr>
              <w:rStyle w:val="TextocomentarioCar"/>
              <w:rFonts w:ascii="Times New Roman" w:hAnsi="Times New Roman" w:cs="Times New Roman"/>
              <w:sz w:val="24"/>
              <w:szCs w:val="24"/>
            </w:rPr>
            <w:t>Contador Público</w:t>
          </w:r>
        </w:sdtContent>
      </w:sdt>
    </w:p>
    <w:bookmarkEnd w:id="1"/>
    <w:p w14:paraId="1309D87F" w14:textId="77777777" w:rsidR="008C0D94" w:rsidRPr="008C0D94" w:rsidRDefault="008C0D94" w:rsidP="008C0D94">
      <w:pPr>
        <w:jc w:val="center"/>
        <w:rPr>
          <w:rFonts w:ascii="Times New Roman" w:hAnsi="Times New Roman" w:cs="Times New Roman"/>
          <w:sz w:val="24"/>
          <w:szCs w:val="24"/>
        </w:rPr>
      </w:pPr>
    </w:p>
    <w:p w14:paraId="7BC33FF9" w14:textId="77777777" w:rsidR="008C0D94" w:rsidRDefault="008C0D94" w:rsidP="008C0D94">
      <w:pPr>
        <w:jc w:val="center"/>
        <w:rPr>
          <w:rFonts w:ascii="Times New Roman" w:hAnsi="Times New Roman" w:cs="Times New Roman"/>
          <w:sz w:val="24"/>
          <w:szCs w:val="24"/>
        </w:rPr>
      </w:pPr>
    </w:p>
    <w:p w14:paraId="3B822CD4" w14:textId="77777777" w:rsidR="001A582D" w:rsidRPr="008C0D94" w:rsidRDefault="001A582D" w:rsidP="008C0D94">
      <w:pPr>
        <w:jc w:val="center"/>
        <w:rPr>
          <w:rFonts w:ascii="Times New Roman" w:hAnsi="Times New Roman" w:cs="Times New Roman"/>
          <w:sz w:val="24"/>
          <w:szCs w:val="24"/>
        </w:rPr>
      </w:pPr>
    </w:p>
    <w:bookmarkStart w:id="2" w:name="_Hlk65077587"/>
    <w:p w14:paraId="0C7A2A5F" w14:textId="3A6AD69E" w:rsidR="008C0D94" w:rsidRPr="008C0D94" w:rsidRDefault="008C0D94" w:rsidP="008C0D94">
      <w:pPr>
        <w:jc w:val="center"/>
        <w:rPr>
          <w:rStyle w:val="Estilo2"/>
          <w:rFonts w:cs="Times New Roman"/>
          <w:szCs w:val="24"/>
        </w:rPr>
      </w:pPr>
      <w:sdt>
        <w:sdtPr>
          <w:rPr>
            <w:rFonts w:ascii="Times New Roman" w:hAnsi="Times New Roman" w:cs="Times New Roman"/>
            <w:sz w:val="24"/>
            <w:szCs w:val="24"/>
          </w:rPr>
          <w:alias w:val="Tipo de orientador(es)"/>
          <w:tag w:val="Tipo de orientador(es)"/>
          <w:id w:val="-2029240515"/>
          <w:placeholder>
            <w:docPart w:val="7F11A57EFF804EE9A5A1D9FD0F95A070"/>
          </w:placeholder>
          <w15:color w:val="008000"/>
          <w:dropDownList>
            <w:listItem w:displayText="Seleccione tipo de orientador(es)" w:value="Seleccione tipo de orientador(es)"/>
            <w:listItem w:displayText="Asesor" w:value="Asesor"/>
            <w:listItem w:displayText="Asesora" w:value="Asesora"/>
            <w:listItem w:displayText="Asesoras" w:value="Asesoras"/>
            <w:listItem w:displayText="Asesores" w:value="Asesores"/>
            <w:listItem w:displayText="Coasesor" w:value="Coasesor"/>
            <w:listItem w:displayText="Coasesora" w:value="Coasesora"/>
            <w:listItem w:displayText="Coasesoras" w:value="Coasesoras"/>
            <w:listItem w:displayText="Coasesores" w:value="Coasesores"/>
            <w:listItem w:displayText="Codirector" w:value="Codirector"/>
            <w:listItem w:displayText="Codirectora" w:value="Codirectora"/>
            <w:listItem w:displayText="Codirectoras" w:value="Codirectoras"/>
            <w:listItem w:displayText="Codirectores" w:value="Codirectores"/>
            <w:listItem w:displayText="Cotutor" w:value="Cotutor"/>
            <w:listItem w:displayText="Cotutora" w:value="Cotutora"/>
            <w:listItem w:displayText="Cotutoras" w:value="Cotutoras"/>
            <w:listItem w:displayText="Cotutores" w:value="Cotutores"/>
            <w:listItem w:displayText="Director" w:value="Director"/>
            <w:listItem w:displayText="Directora" w:value="Directora"/>
            <w:listItem w:displayText="Directoras" w:value="Directoras"/>
            <w:listItem w:displayText="Directores" w:value="Directores"/>
            <w:listItem w:displayText="Docente" w:value="Docente"/>
            <w:listItem w:displayText="Tutor" w:value="Tutor"/>
            <w:listItem w:displayText="Tutora" w:value="Tutora"/>
            <w:listItem w:displayText="Tutoras" w:value="Tutoras"/>
            <w:listItem w:displayText="Tutores" w:value="Tutores"/>
          </w:dropDownList>
        </w:sdtPr>
        <w:sdtContent>
          <w:r w:rsidRPr="008C0D94">
            <w:rPr>
              <w:rFonts w:ascii="Times New Roman" w:hAnsi="Times New Roman" w:cs="Times New Roman"/>
              <w:sz w:val="24"/>
              <w:szCs w:val="24"/>
            </w:rPr>
            <w:t>Asesor</w:t>
          </w:r>
        </w:sdtContent>
      </w:sdt>
      <w:r w:rsidRPr="008C0D94">
        <w:rPr>
          <w:rFonts w:ascii="Times New Roman" w:hAnsi="Times New Roman" w:cs="Times New Roman"/>
          <w:sz w:val="24"/>
          <w:szCs w:val="24"/>
        </w:rPr>
        <w:br/>
      </w:r>
      <w:bookmarkEnd w:id="2"/>
      <w:r w:rsidRPr="008C0D94">
        <w:rPr>
          <w:rFonts w:ascii="Times New Roman" w:hAnsi="Times New Roman" w:cs="Times New Roman"/>
          <w:sz w:val="24"/>
          <w:szCs w:val="24"/>
        </w:rPr>
        <w:t>Jaime Alberto Guevara Sanabria</w:t>
      </w:r>
      <w:r w:rsidRPr="008C0D94">
        <w:rPr>
          <w:rFonts w:ascii="Times New Roman" w:hAnsi="Times New Roman" w:cs="Times New Roman"/>
          <w:sz w:val="24"/>
          <w:szCs w:val="24"/>
        </w:rPr>
        <w:t xml:space="preserve">, </w:t>
      </w:r>
      <w:sdt>
        <w:sdtPr>
          <w:rPr>
            <w:rStyle w:val="Estilo8"/>
            <w:rFonts w:cs="Times New Roman"/>
            <w:szCs w:val="24"/>
          </w:rPr>
          <w:alias w:val="Título asesor"/>
          <w:tag w:val="Título asesor"/>
          <w:id w:val="-464968887"/>
          <w:placeholder>
            <w:docPart w:val="B060DD72F7EA44128B3070FFEA5F4738"/>
          </w:placeholder>
          <w15:color w:val="008000"/>
          <w:dropDownList>
            <w:listItem w:displayText="Título académico más alto" w:value="Título académico más alto"/>
            <w:listItem w:displayText="Doctor (PhD)" w:value="Doctor (PhD)"/>
            <w:listItem w:displayText="Especialista (Esp)" w:value="Especialista (Esp)"/>
            <w:listItem w:displayText="Magíster (MSc)" w:value="Magíster (MSc)"/>
            <w:listItem w:displayText="PostDoctor (PostDoc)" w:value="PostDoctor (PostDoc)"/>
          </w:dropDownList>
        </w:sdtPr>
        <w:sdtContent>
          <w:r w:rsidRPr="008C0D94">
            <w:rPr>
              <w:rStyle w:val="Estilo8"/>
              <w:rFonts w:cs="Times New Roman"/>
              <w:szCs w:val="24"/>
            </w:rPr>
            <w:t>Magíster (MSc)</w:t>
          </w:r>
        </w:sdtContent>
      </w:sdt>
      <w:r w:rsidRPr="008C0D94">
        <w:rPr>
          <w:rStyle w:val="Estilo2"/>
          <w:rFonts w:cs="Times New Roman"/>
          <w:szCs w:val="24"/>
        </w:rPr>
        <w:t xml:space="preserve"> en </w:t>
      </w:r>
      <w:r w:rsidRPr="008C0D94">
        <w:rPr>
          <w:rStyle w:val="Estilo2"/>
          <w:rFonts w:cs="Times New Roman"/>
          <w:szCs w:val="24"/>
        </w:rPr>
        <w:t>Administración</w:t>
      </w:r>
    </w:p>
    <w:p w14:paraId="45B83C2D" w14:textId="77777777" w:rsidR="008C0D94" w:rsidRPr="008C0D94" w:rsidRDefault="008C0D94" w:rsidP="008C0D94">
      <w:pPr>
        <w:pStyle w:val="PrrAPA"/>
        <w:jc w:val="center"/>
        <w:rPr>
          <w:rStyle w:val="Estilo3"/>
        </w:rPr>
      </w:pPr>
    </w:p>
    <w:p w14:paraId="47E976FE" w14:textId="77777777" w:rsidR="008C0D94" w:rsidRPr="008C0D94" w:rsidRDefault="008C0D94" w:rsidP="008C0D94">
      <w:pPr>
        <w:pStyle w:val="PrrAPA"/>
        <w:jc w:val="center"/>
        <w:rPr>
          <w:rStyle w:val="Estilo3"/>
        </w:rPr>
      </w:pPr>
    </w:p>
    <w:p w14:paraId="6286D6A6" w14:textId="77777777" w:rsidR="008C0D94" w:rsidRDefault="008C0D94" w:rsidP="008C0D94">
      <w:pPr>
        <w:pStyle w:val="PrrAPA"/>
        <w:jc w:val="center"/>
        <w:rPr>
          <w:rStyle w:val="Estilo3"/>
        </w:rPr>
      </w:pPr>
    </w:p>
    <w:p w14:paraId="13FA6FF6" w14:textId="77777777" w:rsidR="001A582D" w:rsidRDefault="001A582D" w:rsidP="008C0D94">
      <w:pPr>
        <w:pStyle w:val="PrrAPA"/>
        <w:jc w:val="center"/>
        <w:rPr>
          <w:rStyle w:val="Estilo3"/>
        </w:rPr>
      </w:pPr>
    </w:p>
    <w:p w14:paraId="3CD1FF41" w14:textId="77777777" w:rsidR="001A582D" w:rsidRDefault="001A582D" w:rsidP="008C0D94">
      <w:pPr>
        <w:pStyle w:val="PrrAPA"/>
        <w:jc w:val="center"/>
        <w:rPr>
          <w:rStyle w:val="Estilo3"/>
        </w:rPr>
      </w:pPr>
    </w:p>
    <w:p w14:paraId="54A28B30" w14:textId="77777777" w:rsidR="001A582D" w:rsidRDefault="001A582D" w:rsidP="008C0D94">
      <w:pPr>
        <w:pStyle w:val="PrrAPA"/>
        <w:jc w:val="center"/>
        <w:rPr>
          <w:rStyle w:val="Estilo3"/>
        </w:rPr>
      </w:pPr>
    </w:p>
    <w:p w14:paraId="14707545" w14:textId="77777777" w:rsidR="001A582D" w:rsidRDefault="001A582D" w:rsidP="008C0D94">
      <w:pPr>
        <w:pStyle w:val="PrrAPA"/>
        <w:jc w:val="center"/>
        <w:rPr>
          <w:rStyle w:val="Estilo3"/>
        </w:rPr>
      </w:pPr>
    </w:p>
    <w:p w14:paraId="3C9A9A4E" w14:textId="77777777" w:rsidR="001A582D" w:rsidRDefault="001A582D" w:rsidP="008C0D94">
      <w:pPr>
        <w:pStyle w:val="PrrAPA"/>
        <w:jc w:val="center"/>
        <w:rPr>
          <w:rStyle w:val="Estilo3"/>
        </w:rPr>
      </w:pPr>
    </w:p>
    <w:p w14:paraId="365ADE59" w14:textId="77777777" w:rsidR="001A582D" w:rsidRPr="008C0D94" w:rsidRDefault="001A582D" w:rsidP="008C0D94">
      <w:pPr>
        <w:pStyle w:val="PrrAPA"/>
        <w:jc w:val="center"/>
        <w:rPr>
          <w:rStyle w:val="Estilo3"/>
        </w:rPr>
      </w:pPr>
    </w:p>
    <w:p w14:paraId="69E5791E" w14:textId="77777777" w:rsidR="008C0D94" w:rsidRPr="008C0D94" w:rsidRDefault="008C0D94" w:rsidP="008C0D94">
      <w:pPr>
        <w:pStyle w:val="PrrAPA"/>
        <w:jc w:val="center"/>
        <w:rPr>
          <w:rStyle w:val="Estilo3"/>
        </w:rPr>
      </w:pPr>
      <w:r w:rsidRPr="008C0D94">
        <w:rPr>
          <w:rStyle w:val="Estilo3"/>
        </w:rPr>
        <w:tab/>
      </w:r>
    </w:p>
    <w:p w14:paraId="2364536F" w14:textId="4B02E9CE" w:rsidR="008C0D94" w:rsidRPr="008C0D94" w:rsidRDefault="008C0D94" w:rsidP="008C0D94">
      <w:pPr>
        <w:jc w:val="center"/>
        <w:rPr>
          <w:rFonts w:ascii="Times New Roman" w:hAnsi="Times New Roman" w:cs="Times New Roman"/>
          <w:sz w:val="24"/>
          <w:szCs w:val="24"/>
        </w:rPr>
      </w:pPr>
      <w:r w:rsidRPr="008C0D94">
        <w:rPr>
          <w:rStyle w:val="Estilo3"/>
          <w:rFonts w:cs="Times New Roman"/>
          <w:szCs w:val="24"/>
        </w:rPr>
        <w:t>Universidad de Antioquia</w:t>
      </w:r>
      <w:r w:rsidRPr="008C0D94">
        <w:rPr>
          <w:rStyle w:val="Estilo3"/>
          <w:rFonts w:cs="Times New Roman"/>
          <w:szCs w:val="24"/>
        </w:rPr>
        <w:br/>
      </w:r>
      <w:sdt>
        <w:sdtPr>
          <w:rPr>
            <w:rStyle w:val="TextocomentarioCar"/>
            <w:rFonts w:ascii="Times New Roman" w:hAnsi="Times New Roman" w:cs="Times New Roman"/>
            <w:sz w:val="24"/>
            <w:szCs w:val="24"/>
          </w:rPr>
          <w:alias w:val="Facultad, escuela, instituto o corporación"/>
          <w:tag w:val="Facultad, escuela, instituto o corporación"/>
          <w:id w:val="1362708455"/>
          <w:placeholder>
            <w:docPart w:val="6D7CF751021A48F787ED0528B7432CD4"/>
          </w:placeholder>
          <w15:color w:val="008000"/>
          <w:dropDownList>
            <w:listItem w:displayText="Seleccione facultad, escuela, instituto o corporación UdeA (A-Z)" w:value="Seleccione facultad, escuela, instituto o corporación UdeA (A-Z)"/>
            <w:listItem w:displayText="Corporación Académica Ambiental" w:value="Corporación Académica Ambiental"/>
            <w:listItem w:displayText="Corporación Académica Ciencias Básicas Biomédicas" w:value="Corporación Académica Ciencias Básicas Biomédicas"/>
            <w:listItem w:displayText="Corporación Académica para el Estudio de Patologías Tropicales" w:value="Corporación Académica para el Estudio de Patologías Tropicales"/>
            <w:listItem w:displayText="Escuela de Idiomas" w:value="Escuela de Idiomas"/>
            <w:listItem w:displayText="Escuela de Microbiología" w:value="Escuela de Microbiología"/>
            <w:listItem w:displayText="Escuela de Nutrición y Dietética" w:value="Escuela de Nutrición y Dietética"/>
            <w:listItem w:displayText="Escuela Interamericana de Bibliotecología" w:value="Escuela Interamericana de Bibliotecología"/>
            <w:listItem w:displayText="Instituto de Estudios Políticos" w:value="Instituto de Estudios Políticos"/>
            <w:listItem w:displayText="Instituto de Estudios Regionales" w:value="Instituto de Estudios Regionales"/>
            <w:listItem w:displayText="Instituto de Filosofía" w:value="Instituto de Filosofía"/>
            <w:listItem w:displayText="Instituto Universitario de Educación Física y Deporte" w:value="Instituto Universitario de Educación Física y Deporte"/>
            <w:listItem w:displayText="Facultad de Artes" w:value="Facultad de Artes"/>
            <w:listItem w:displayText="Facultad de Ciencias Agrarias" w:value="Facultad de Ciencias Agrarias"/>
            <w:listItem w:displayText="Facultad de Ciencias Económicas" w:value="Facultad de Ciencias Económicas"/>
            <w:listItem w:displayText="Facultad de Ciencias Exactas y Naturales" w:value="Facultad de Ciencias Exactas y Naturales"/>
            <w:listItem w:displayText="Facultad de Ciencias Farmacéuticas y Alimentarias" w:value="Facultad de Ciencias Farmacéuticas y Alimentarias"/>
            <w:listItem w:displayText="Facultad de Ciencias Sociales y Humanas" w:value="Facultad de Ciencias Sociales y Humanas"/>
            <w:listItem w:displayText="Facultad de Comunicaciones y Filología" w:value="Facultad de Comunicaciones y Filología"/>
            <w:listItem w:displayText="Facultad de Derecho y Ciencias Políticas" w:value="Facultad de Derecho y Ciencias Políticas"/>
            <w:listItem w:displayText="Facultad de Educación" w:value="Facultad de Educación"/>
            <w:listItem w:displayText="Facultad de Enfermería" w:value="Facultad de Enfermería"/>
            <w:listItem w:displayText="Facultad de Ingeniería" w:value="Facultad de Ingeniería"/>
            <w:listItem w:displayText="Facultad de Medicina" w:value="Facultad de Medicina"/>
            <w:listItem w:displayText="Facultad Nacional de Salud Pública Héctor Abad Gómez" w:value="Facultad Nacional de Salud Pública Héctor Abad Gómez"/>
            <w:listItem w:displayText="Facultad de Odontología" w:value="Facultad de Odontología"/>
          </w:dropDownList>
        </w:sdtPr>
        <w:sdtEndPr>
          <w:rPr>
            <w:rStyle w:val="Fuentedeprrafopredeter"/>
          </w:rPr>
        </w:sdtEndPr>
        <w:sdtContent>
          <w:r w:rsidRPr="008C0D94">
            <w:rPr>
              <w:rStyle w:val="TextocomentarioCar"/>
              <w:rFonts w:ascii="Times New Roman" w:hAnsi="Times New Roman" w:cs="Times New Roman"/>
              <w:sz w:val="24"/>
              <w:szCs w:val="24"/>
            </w:rPr>
            <w:t>Facultad de Ciencias Económicas</w:t>
          </w:r>
        </w:sdtContent>
      </w:sdt>
    </w:p>
    <w:bookmarkStart w:id="3" w:name="_Hlk66885171"/>
    <w:p w14:paraId="5AE19380" w14:textId="5C4A0920" w:rsidR="008C0D94" w:rsidRPr="008C0D94" w:rsidRDefault="008C0D94" w:rsidP="008C0D94">
      <w:pPr>
        <w:jc w:val="center"/>
        <w:rPr>
          <w:rFonts w:ascii="Times New Roman" w:hAnsi="Times New Roman" w:cs="Times New Roman"/>
          <w:sz w:val="24"/>
          <w:szCs w:val="24"/>
        </w:rPr>
      </w:pPr>
      <w:sdt>
        <w:sdtPr>
          <w:rPr>
            <w:rStyle w:val="TextocomentarioCar"/>
            <w:rFonts w:ascii="Times New Roman" w:hAnsi="Times New Roman" w:cs="Times New Roman"/>
            <w:sz w:val="24"/>
            <w:szCs w:val="24"/>
          </w:rPr>
          <w:alias w:val="Programa"/>
          <w:tag w:val="Programa"/>
          <w:id w:val="-1061631623"/>
          <w:placeholder>
            <w:docPart w:val="DA03F4588FEB43568A23FC9E36B681FA"/>
          </w:placeholder>
          <w15:color w:val="008000"/>
          <w:dropDownList>
            <w:listItem w:displayText="Seleccione pregrado o posgrado UdeA (A-Z)" w:value="Seleccione pregrado o posgrado UdeA (A-Z)"/>
            <w:listItem w:displayText="Administración Ambiental y Sanitaria" w:value="Administración Ambiental y Sanitaria"/>
            <w:listItem w:displayText="Administración de Empresas" w:value="Administración de Empresas"/>
            <w:listItem w:displayText="Administración en Salud" w:value="Administración en Salud"/>
            <w:listItem w:displayText="Antropología" w:value="Antropología"/>
            <w:listItem w:displayText="Archivística" w:value="Archivística"/>
            <w:listItem w:displayText="Arte Drámatico" w:value="Arte Drámatico"/>
            <w:listItem w:displayText="Artes Plásticas" w:value="Artes Plásticas"/>
            <w:listItem w:displayText="Astronomía" w:value="Astronomía"/>
            <w:listItem w:displayText="Bibliotecología" w:value="Bibliotecología"/>
            <w:listItem w:displayText="Bioingeniería" w:value="Bioingeniería"/>
            <w:listItem w:displayText="Biología" w:value="Biología"/>
            <w:listItem w:displayText="Ciencia Política" w:value="Ciencia Política"/>
            <w:listItem w:displayText="Ciencias Culinarias" w:value="Ciencias Culinarias"/>
            <w:listItem w:displayText="Comunicación Social - Periodismo" w:value="Comunicación Social - Periodismo"/>
            <w:listItem w:displayText="Comunicaciones" w:value="Comunicaciones"/>
            <w:listItem w:displayText="Comunicador Audiovisual y Multimedial" w:value="Comunicador Audiovisual y Multimedial"/>
            <w:listItem w:displayText="Contaduría Pública" w:value="Contaduría Pública"/>
            <w:listItem w:displayText="Derecho" w:value="Derecho"/>
            <w:listItem w:displayText="Desarrollo Territorial" w:value="Desarrollo Territorial"/>
            <w:listItem w:displayText="Doctorado en Administración y Organizaciones" w:value="Doctorado en Administración y Organizaciones"/>
            <w:listItem w:displayText="Doctorado en Artes" w:value="Doctorado en Artes"/>
            <w:listItem w:displayText="Doctorado en Biología" w:value="Doctorado en Biología"/>
            <w:listItem w:displayText="Doctorado en Biotecnología" w:value="Doctorado en Biotecnología"/>
            <w:listItem w:displayText="Doctorado en Ciencias Animales" w:value="Doctorado en Ciencias Animales"/>
            <w:listItem w:displayText="Doctorado en Ciencias del Mar" w:value="Doctorado en Ciencias del Mar"/>
            <w:listItem w:displayText="Doctorado en Ciencias Farmacéuticas y Alimentarias" w:value="Doctorado en Ciencias Farmacéuticas y Alimentarias"/>
            <w:listItem w:displayText="Doctorado en Ciencias Odontológicas" w:value="Doctorado en Ciencias Odontológicas"/>
            <w:listItem w:displayText="Doctorado en Ciencias Químicas" w:value="Doctorado en Ciencias Químicas"/>
            <w:listItem w:displayText="Doctorado en Ciencias Sociales" w:value="Doctorado en Ciencias Sociales"/>
            <w:listItem w:displayText="Doctorado en Ciencias Veterinarias" w:value="Doctorado en Ciencias Veterinarias"/>
            <w:listItem w:displayText="Doctorado en Derecho" w:value="Doctorado en Derecho"/>
            <w:listItem w:displayText="Doctorado en Educación" w:value="Doctorado en Educación"/>
            <w:listItem w:displayText="Doctorado en Educación Física" w:value="Doctorado en Educación Física"/>
            <w:listItem w:displayText="Doctorado en Enfermería" w:value="Doctorado en Enfermería"/>
            <w:listItem w:displayText="Doctorado en Epidemiología" w:value="Doctorado en Epidemiología"/>
            <w:listItem w:displayText="Doctorado en Estudios Socioespaciales" w:value="Doctorado en Estudios Socioespaciales"/>
            <w:listItem w:displayText="Doctorado en Filosofía" w:value="Doctorado en Filosofía"/>
            <w:listItem w:displayText="Doctorado en Física" w:value="Doctorado en Física"/>
            <w:listItem w:displayText="Doctorado en Ingenieria Ambiental" w:value="Doctorado en Ingenieria Ambiental"/>
            <w:listItem w:displayText="Doctorado en Ingeniería de Materiales" w:value="Doctorado en Ingeniería de Materiales"/>
            <w:listItem w:displayText="Doctorado en Ingeniería Electrónica y de Computación" w:value="Doctorado en Ingeniería Electrónica y de Computación"/>
            <w:listItem w:displayText="Doctorado en Ingeniería Química" w:value="Doctorado en Ingeniería Química"/>
            <w:listItem w:displayText="Doctorado en Lingüística" w:value="Doctorado en Lingüística"/>
            <w:listItem w:displayText="Doctorado en Literatura" w:value="Doctorado en Literatura"/>
            <w:listItem w:displayText="Doctorado en Matemáticas" w:value="Doctorado en Matemáticas"/>
            <w:listItem w:displayText="Doctorado en Medicina Clínica" w:value="Doctorado en Medicina Clínica"/>
            <w:listItem w:displayText="Doctorado en Microbiología" w:value="Doctorado en Microbiología"/>
            <w:listItem w:displayText="Doctorado en Psicoanálisis" w:value="Doctorado en Psicoanálisis"/>
            <w:listItem w:displayText="Doctorado en Salud Pública" w:value="Doctorado en Salud Pública"/>
            <w:listItem w:displayText="Ecología de Zonas Costeras" w:value="Ecología de Zonas Costeras"/>
            <w:listItem w:displayText="Economía" w:value="Economía"/>
            <w:listItem w:displayText="Enfermería" w:value="Enfermería"/>
            <w:listItem w:displayText="Entrenamiento Deportivo" w:value="Entrenamiento Deportivo"/>
            <w:listItem w:displayText="Especialización Clínica en Endodoncia" w:value="Especialización Clínica en Endodoncia"/>
            <w:listItem w:displayText="Especialización Clínica en Odontología Integral del Adulto" w:value="Especialización Clínica en Odontología Integral del Adulto"/>
            <w:listItem w:displayText="Especialización Clínica en Ortodoncia" w:value="Especialización Clínica en Ortodoncia"/>
            <w:listItem w:displayText="Especialización Clínica en Ortopedia Maxilar" w:value="Especialización Clínica en Ortopedia Maxilar"/>
            <w:listItem w:displayText="Especialización en Administración de Servicios de Salud" w:value="Especialización en Administración de Servicios de Salud"/>
            <w:listItem w:displayText="Especialización en Administración Deportiva" w:value="Especialización en Administración Deportiva"/>
            <w:listItem w:displayText="Especialización en Alergología Clínica" w:value="Especialización en Alergología Clínica"/>
            <w:listItem w:displayText="Especialización en Análisis y Diseño de Estructuras" w:value="Especialización en Análisis y Diseño de Estructuras"/>
            <w:listItem w:displayText="Especialización en Analítica y Ciencia de Datos" w:value="Especialización en Analítica y Ciencia de Datos"/>
            <w:listItem w:displayText="Especialización en Anestesiología y Reanimación" w:value="Especialización en Anestesiología y Reanimación"/>
            <w:listItem w:displayText="Especialización en Auditoría en Salud" w:value="Especialización en Auditoría en Salud"/>
            <w:listItem w:displayText="Especialización en Auditoría y Control de Gestión" w:value="Especialización en Auditoría y Control de Gestión"/>
            <w:listItem w:displayText="Especialización en Café" w:value="Especialización en Café"/>
            <w:listItem w:displayText="Especialización en Cardiología Clínica" w:value="Especialización en Cardiología Clínica"/>
            <w:listItem w:displayText="Especialización en Cirugía de Cabeza y Cuello" w:value="Especialización en Cirugía de Cabeza y Cuello"/>
            <w:listItem w:displayText="Especialización en Cirugía de Trasplantes" w:value="Especialización en Cirugía de Trasplantes"/>
            <w:listItem w:displayText="Especialización en Cirugía General" w:value="Especialización en Cirugía General"/>
            <w:listItem w:displayText="Especialización en Cirugía Oncológica" w:value="Especialización en Cirugía Oncológica"/>
            <w:listItem w:displayText="Especialización en Cirugía Oral y Maxilofacial" w:value="Especialización en Cirugía Oral y Maxilofacial"/>
            <w:listItem w:displayText="Especialización en Cirugía Pediátrica" w:value="Especialización en Cirugía Pediátrica"/>
            <w:listItem w:displayText="Especialización en Cirugía Plástica, Maxilofacial y de la Mano" w:value="Especialización en Cirugía Plástica, Maxilofacial y de la Mano"/>
            <w:listItem w:displayText="Especialización en Cirugía Vascular" w:value="Especialización en Cirugía Vascular"/>
            <w:listItem w:displayText="Especialización en Cuidado en Enfermería al Paciente con Cáncer y su Familia" w:value="Especialización en Cuidado en Enfermería al Paciente con Cáncer y su Familia"/>
            <w:listItem w:displayText="Especialización en Derecho Administrativo" w:value="Especialización en Derecho Administrativo"/>
            <w:listItem w:displayText="Especialización en Derecho de la Seguridad Social" w:value="Especialización en Derecho de la Seguridad Social"/>
            <w:listItem w:displayText="Especialización en Derecho Privado" w:value="Especialización en Derecho Privado"/>
            <w:listItem w:displayText="Especialización en Derecho Procesal" w:value="Especialización en Derecho Procesal"/>
            <w:listItem w:displayText="Especialización en Derecho Urbanístico" w:value="Especialización en Derecho Urbanístico"/>
            <w:listItem w:displayText="Especialización en Derechos Humanos y Derecho Internacional Humanitario" w:value="Especialización en Derechos Humanos y Derecho Internacional Humanitario"/>
            <w:listItem w:displayText="Especialización en Dermatología" w:value="Especialización en Dermatología"/>
            <w:listItem w:displayText="Especialización en Diseño Mecánico" w:value="Especialización en Diseño Mecánico"/>
            <w:listItem w:displayText="Especialización en Edición de Publicaciones" w:value="Especialización en Edición de Publicaciones"/>
            <w:listItem w:displayText="Especialización en Educación Física: Actividad Física y Salud" w:value="Especialización en Educación Física: Actividad Física y Salud"/>
            <w:listItem w:displayText="Especialización en Educación Física: Entrenamiento Deportivo" w:value="Especialización en Educación Física: Entrenamiento Deportivo"/>
            <w:listItem w:displayText="Especialización en Eficiencia Energética" w:value="Especialización en Eficiencia Energética"/>
            <w:listItem w:displayText="Especialización en Endocrinología Clínica y Metabolismo" w:value="Especialización en Endocrinología Clínica y Metabolismo"/>
            <w:listItem w:displayText="Especialización en Endocrinología Pediátrica" w:value="Especialización en Endocrinología Pediátrica"/>
            <w:listItem w:displayText="Especialización en Enfermedades Infecciosas" w:value="Especialización en Enfermedades Infecciosas"/>
            <w:listItem w:displayText="Especialización en Enfermería en Cuidado al Adulto en Estado Crítico de Salud" w:value="Especialización en Enfermería en Cuidado al Adulto en Estado Crítico de Salud"/>
            <w:listItem w:displayText="Especialización en Enfermería en Cuidado al Niño en Estado Crítico de Salud" w:value="Especialización en Enfermería en Cuidado al Niño en Estado Crítico de Salud"/>
            <w:listItem w:displayText="Especialización en Ergonomía" w:value="Especialización en Ergonomía"/>
            <w:listItem w:displayText="Especialización en Evaluación Económica en Salud" w:value="Especialización en Evaluación Económica en Salud"/>
            <w:listItem w:displayText="Especialización en Evaluación Socioeconómica de Proyectos" w:value="Especialización en Evaluación Socioeconómica de Proyectos"/>
            <w:listItem w:displayText="Especialización en Extensión Rural" w:value="Especialización en Extensión Rural"/>
            <w:listItem w:displayText="Especialización en Finanzas" w:value="Especialización en Finanzas"/>
            <w:listItem w:displayText="Especialización en Gerencia de Mantenimiento" w:value="Especialización en Gerencia de Mantenimiento"/>
            <w:listItem w:displayText="Especialización en Gerencia de Servicios de Información" w:value="Especialización en Gerencia de Servicios de Información"/>
            <w:listItem w:displayText="Especialización en Gestión Ambiental" w:value="Especialización en Gestión Ambiental"/>
            <w:listItem w:displayText="Especialización en Gestión Tributaria" w:value="Especialización en Gestión Tributaria"/>
            <w:listItem w:displayText="Especialización en Hematología Clínica" w:value="Especialización en Hematología Clínica"/>
            <w:listItem w:displayText="Especialización en Hemodinámica, Cardiología Intervencionista y Vascular Periférico" w:value="Especialización en Hemodinámica, Cardiología Intervencionista y Vascular Periférico"/>
            <w:listItem w:displayText="Especialización en Hepatología Clínica" w:value="Especialización en Hepatología Clínica"/>
            <w:listItem w:displayText="Especialización en Imagen Corporal" w:value="Especialización en Imagen Corporal"/>
            <w:listItem w:displayText="Especialización en Literatura Comparada" w:value="Especialización en Literatura Comparada"/>
            <w:listItem w:displayText="Especialización en Logística Integral" w:value="Especialización en Logística Integral"/>
            <w:listItem w:displayText="Especialización en Manejo y Gestión del Agua" w:value="Especialización en Manejo y Gestión del Agua"/>
            <w:listItem w:displayText="Especialización en Medicina Aplicada a la Actividad Física y al Deporte" w:value="Especialización en Medicina Aplicada a la Actividad Física y al Deporte"/>
            <w:listItem w:displayText="Especialización en Medicina Crítica y Cuidados Intensivos" w:value="Especialización en Medicina Crítica y Cuidados Intensivos"/>
            <w:listItem w:displayText="Especialización en Medicina de Urgencias" w:value="Especialización en Medicina de Urgencias"/>
            <w:listItem w:displayText="Especialización en Medicina del Dolor" w:value="Especialización en Medicina del Dolor"/>
            <w:listItem w:displayText="Especialización en Medicina Física y Rehabilitación" w:value="Especialización en Medicina Física y Rehabilitación"/>
            <w:listItem w:displayText="Especialización en Medicina Interna" w:value="Especialización en Medicina Interna"/>
            <w:listItem w:displayText="Especialización en Medicina Vascular" w:value="Especialización en Medicina Vascular"/>
            <w:listItem w:displayText="Especialización en Medio Ambiente y Geoinformática" w:value="Especialización en Medio Ambiente y Geoinformática"/>
            <w:listItem w:displayText="Especialización en Nefrología" w:value="Especialización en Nefrología"/>
            <w:listItem w:displayText="Especialización en Neonatología" w:value="Especialización en Neonatología"/>
            <w:listItem w:displayText="Especialización en Neurocirugía" w:value="Especialización en Neurocirugía"/>
            <w:listItem w:displayText="Especialización en Neurología" w:value="Especialización en Neurología"/>
            <w:listItem w:displayText="Especialización en Neurología Infantil" w:value="Especialización en Neurología Infantil"/>
            <w:listItem w:displayText="Especialización en Neurorradiología" w:value="Especialización en Neurorradiología"/>
            <w:listItem w:displayText="Especialización en Obstetricia y Ginecología" w:value="Especialización en Obstetricia y Ginecología"/>
            <w:listItem w:displayText="Especialización en Oftalmología" w:value="Especialización en Oftalmología"/>
            <w:listItem w:displayText="Especialización en Ortopedia y Traumatología" w:value="Especialización en Ortopedia y Traumatología"/>
            <w:listItem w:displayText="Especialización en Otorrinolaringología y Cirugía de Cabeza y Cuello" w:value="Especialización en Otorrinolaringología y Cirugía de Cabeza y Cuello"/>
            <w:listItem w:displayText="Especialización en Patología" w:value="Especialización en Patología"/>
            <w:listItem w:displayText="Especialización en Pediatría" w:value="Especialización en Pediatría"/>
            <w:listItem w:displayText="Especialización en Preparación y Evaluación de Proyectos Privados" w:value="Especialización en Preparación y Evaluación de Proyectos Privados"/>
            <w:listItem w:displayText="Especialización en Problemas de la Infancia y de la Adolescencia" w:value="Especialización en Problemas de la Infancia y de la Adolescencia"/>
            <w:listItem w:displayText="Especialización en Psicología Organizacional" w:value="Especialización en Psicología Organizacional"/>
            <w:listItem w:displayText="Especialización en Psicopatología y Estructuras Clínicas" w:value="Especialización en Psicopatología y Estructuras Clínicas"/>
            <w:listItem w:displayText="Especialización en Psiquiatría" w:value="Especialización en Psiquiatría"/>
            <w:listItem w:displayText="Especialización en Psiquiatría Pediátrica" w:value="Especialización en Psiquiatría Pediátrica"/>
            <w:listItem w:displayText="Especialización en Radiología" w:value="Especialización en Radiología"/>
            <w:listItem w:displayText="Especialización en Radiología de Trauma y Urgencias" w:value="Especialización en Radiología de Trauma y Urgencias"/>
            <w:listItem w:displayText="Especialización en Radiología Intervencionista" w:value="Especialización en Radiología Intervencionista"/>
            <w:listItem w:displayText="Especialización en Refrigeración y Climatización" w:value="Especialización en Refrigeración y Climatización"/>
            <w:listItem w:displayText="Especialización en Reumatología" w:value="Especialización en Reumatología"/>
            <w:listItem w:displayText="Especialización en Salud Ambiental" w:value="Especialización en Salud Ambiental"/>
            <w:listItem w:displayText="Especialización en Seguridad y Salud en el Trabajo" w:value="Especialización en Seguridad y Salud en el Trabajo"/>
            <w:listItem w:displayText="Especialización en Sistemas de Gestión de Calidad e Inocuidad Agroalimentaria" w:value="Especialización en Sistemas de Gestión de Calidad e Inocuidad Agroalimentaria"/>
            <w:listItem w:displayText="Especialización en Soldadura" w:value="Especialización en Soldadura"/>
            <w:listItem w:displayText="Especialización en Técnica Vocal para Actores" w:value="Especialización en Técnica Vocal para Actores"/>
            <w:listItem w:displayText="Especialización en Teorías, Métodos y Técnicas en Investigación Social" w:value="Especialización en Teorías, Métodos y Técnicas en Investigación Social"/>
            <w:listItem w:displayText="Especialización en Toxicología Clínica" w:value="Especialización en Toxicología Clínica"/>
            <w:listItem w:displayText="Especialización en Urología" w:value="Especialización en Urología"/>
            <w:listItem w:displayText="Especialización Tecnológica en Regencia de Farmacia" w:value="Especialización Tecnológica en Regencia de Farmacia"/>
            <w:listItem w:displayText="Estadística" w:value="Estadística"/>
            <w:listItem w:displayText="Filología Hispánica" w:value="Filología Hispánica"/>
            <w:listItem w:displayText="Filosofía" w:value="Filosofía"/>
            <w:listItem w:displayText="Física" w:value="Física"/>
            <w:listItem w:displayText="Gerencia de Sistemas de Información en Salud" w:value="Gerencia de Sistemas de Información en Salud"/>
            <w:listItem w:displayText="Gestión Cultural" w:value="Gestión Cultural"/>
            <w:listItem w:displayText="Gestión en Ecología y Turismo" w:value="Gestión en Ecología y Turismo"/>
            <w:listItem w:displayText="Historia" w:value="Historia"/>
            <w:listItem w:displayText="Ingeniería Aeroespacial" w:value="Ingeniería Aeroespacial"/>
            <w:listItem w:displayText="Ingeniería Agroindustrial" w:value="Ingeniería Agroindustrial"/>
            <w:listItem w:displayText="Ingeniería Agropecuaria" w:value="Ingeniería Agropecuaria"/>
            <w:listItem w:displayText="Ingeniería Ambiental" w:value="Ingeniería Ambiental"/>
            <w:listItem w:displayText="Ingeniería Bioquímica" w:value="Ingeniería Bioquímica"/>
            <w:listItem w:displayText="Ingeniería Civil" w:value="Ingeniería Civil"/>
            <w:listItem w:displayText="Ingeniería de Alimentos" w:value="Ingeniería de Alimentos"/>
            <w:listItem w:displayText="Ingeniería de Materiales" w:value="Ingeniería de Materiales"/>
            <w:listItem w:displayText="Ingeniería de Sistemas" w:value="Ingeniería de Sistemas"/>
            <w:listItem w:displayText="Ingeniería de Telecomunicaciones" w:value="Ingeniería de Telecomunicaciones"/>
            <w:listItem w:displayText="Ingeniería Eléctrica" w:value="Ingeniería Eléctrica"/>
            <w:listItem w:displayText="Ingeniería Electrónica" w:value="Ingeniería Electrónica"/>
            <w:listItem w:displayText="Ingeniería Energética" w:value="Ingeniería Energética"/>
            <w:listItem w:displayText="Ingeniería Industrial" w:value="Ingeniería Industrial"/>
            <w:listItem w:displayText="Ingeniería Mecánica" w:value="Ingeniería Mecánica"/>
            <w:listItem w:displayText="Ingeniería Oceanográfica" w:value="Ingeniería Oceanográfica"/>
            <w:listItem w:displayText="Ingeniería Química" w:value="Ingeniería Química"/>
            <w:listItem w:displayText="Ingeniería Sanitaria" w:value="Ingeniería Sanitaria"/>
            <w:listItem w:displayText="Ingeniería Urbana" w:value="Ingeniería Urbana"/>
            <w:listItem w:displayText="Instrumentación Quirúrgica" w:value="Instrumentación Quirúrgica"/>
            <w:listItem w:displayText="Licenciatura en Artes Escénicas" w:value="Licenciatura en Artes Escénicas"/>
            <w:listItem w:displayText="Licenciatura en Ciencias Naturales" w:value="Licenciatura en Ciencias Naturales"/>
            <w:listItem w:displayText="Licenciatura en Ciencias Sociales" w:value="Licenciatura en Ciencias Sociales"/>
            <w:listItem w:displayText="Licenciatura en Danzas" w:value="Licenciatura en Danzas"/>
            <w:listItem w:displayText="Licenciatura en Educación Básica Primaria" w:value="Licenciatura en Educación Básica Primaria"/>
            <w:listItem w:displayText="Licenciatura en Educación en Artes Plásticas" w:value="Licenciatura en Educación en Artes Plásticas"/>
            <w:listItem w:displayText="Licenciatura en Educación Especial" w:value="Licenciatura en Educación Especial"/>
            <w:listItem w:displayText="Licenciatura en Educación Física" w:value="Licenciatura en Educación Física"/>
            <w:listItem w:displayText="Licenciatura en Educación Infantil" w:value="Licenciatura en Educación Infantil"/>
            <w:listItem w:displayText="Licenciatura en Filosofía" w:value="Licenciatura en Filosofía"/>
            <w:listItem w:displayText="Licenciatura en Física" w:value="Licenciatura en Física"/>
            <w:listItem w:displayText="Licenciatura en Literatura y Lengua Castellana" w:value="Licenciatura en Literatura y Lengua Castellana"/>
            <w:listItem w:displayText="Licenciatura en Matemáticas" w:value="Licenciatura en Matemáticas"/>
            <w:listItem w:displayText="Licenciatura en Música" w:value="Licenciatura en Música"/>
            <w:listItem w:displayText="Licenciatura en Pedagogía de la Madre Tierra" w:value="Licenciatura en Pedagogía de la Madre Tierra"/>
            <w:listItem w:displayText="Licenctura en Lenguas Extranjeras con Énfasis en Inglés y Francés" w:value="Licenctura en Lenguas Extranjeras con Énfasis en Inglés y Francés"/>
            <w:listItem w:displayText="Maestría en Administración" w:value="Maestría en Administración"/>
            <w:listItem w:displayText="Maestría en Administración Hospitalaria" w:value="Maestría en Administración Hospitalaria"/>
            <w:listItem w:displayText="Maestría en Agronegocios" w:value="Maestría en Agronegocios"/>
            <w:listItem w:displayText="Maestría en Antropología" w:value="Maestría en Antropología"/>
            <w:listItem w:displayText="Maestría en Artes" w:value="Maestría en Artes"/>
            <w:listItem w:displayText="Maestría en Biología" w:value="Maestría en Biología"/>
            <w:listItem w:displayText="Maestría en Biotecnología" w:value="Maestría en Biotecnología"/>
            <w:listItem w:displayText="Maestría en Ciencia de la Información" w:value="Maestría en Ciencia de la Información"/>
            <w:listItem w:displayText="Maestría en Ciencia Política" w:value="Maestría en Ciencia Política"/>
            <w:listItem w:displayText="Maestría en Ciencias Ambientales" w:value="Maestría en Ciencias Ambientales"/>
            <w:listItem w:displayText="Maestría en Ciencias Animales" w:value="Maestría en Ciencias Animales"/>
            <w:listItem w:displayText="Maestría en Ciencias de la Alimentación y Nutrición Humana" w:value="Maestría en Ciencias de la Alimentación y Nutrición Humana"/>
            <w:listItem w:displayText="Maestría en Ciencias del Deporte y la Actividad Física" w:value="Maestría en Ciencias del Deporte y la Actividad Física"/>
            <w:listItem w:displayText="Maestría en Ciencias del Mar" w:value="Maestría en Ciencias del Mar"/>
            <w:listItem w:displayText="Maestría en Ciencias Farmacéuticas y Alimentarias" w:value="Maestría en Ciencias Farmacéuticas y Alimentarias"/>
            <w:listItem w:displayText="Maestría en Ciencias Odontológicas" w:value="Maestría en Ciencias Odontológicas"/>
            <w:listItem w:displayText="Maestría en Ciencias Químicas" w:value="Maestría en Ciencias Químicas"/>
            <w:listItem w:displayText="Maestría en Ciencias Veterinarias" w:value="Maestría en Ciencias Veterinarias"/>
            <w:listItem w:displayText="Maestría en Comunicaciones" w:value="Maestría en Comunicaciones"/>
            <w:listItem w:displayText="Maestría en Contabilidad Financiera y de Gestión" w:value="Maestría en Contabilidad Financiera y de Gestión"/>
            <w:listItem w:displayText="Maestría en Control Organizacional" w:value="Maestría en Control Organizacional"/>
            <w:listItem w:displayText="Maestría en Creación y Estudios Audiovisuales" w:value="Maestría en Creación y Estudios Audiovisuales"/>
            <w:listItem w:displayText="Maestría en Derecho" w:value="Maestría en Derecho"/>
            <w:listItem w:displayText="Maestría en Dramaturgia y Dirección" w:value="Maestría en Dramaturgia y Dirección"/>
            <w:listItem w:displayText="Maestría en Economía" w:value="Maestría en Economía"/>
            <w:listItem w:displayText="Maestría en Educación" w:value="Maestría en Educación"/>
            <w:listItem w:displayText="Maestría en Educación en Ciencias Sociales" w:value="Maestría en Educación en Ciencias Sociales"/>
            <w:listItem w:displayText="Maestría en Educación en Salud" w:value="Maestría en Educación en Salud"/>
            <w:listItem w:displayText="Maestría en Educación Superior en Salud" w:value="Maestría en Educación Superior en Salud"/>
            <w:listItem w:displayText="Maestría en Enfermería" w:value="Maestría en Enfermería"/>
            <w:listItem w:displayText="Maestría en Enseñanza de las Matemáticas" w:value="Maestría en Enseñanza de las Matemáticas"/>
            <w:listItem w:displayText="Maestría en Enseñanza y Aprendizaje de las Lenguas Extranjeras" w:value="Maestría en Enseñanza y Aprendizaje de las Lenguas Extranjeras"/>
            <w:listItem w:displayText="Maestría en Epidemiología" w:value="Maestría en Epidemiología"/>
            <w:listItem w:displayText="Maestría en Epidemología Clínica" w:value="Maestría en Epidemología Clínica"/>
            <w:listItem w:displayText="Maestría en Estudios en Infancia" w:value="Maestría en Estudios en Infancia"/>
            <w:listItem w:displayText="Maestría en Estudios Socioespaciales" w:value="Maestría en Estudios Socioespaciales"/>
            <w:listItem w:displayText="Maestría en Filosofía" w:value="Maestría en Filosofía"/>
            <w:listItem w:displayText="Maestría en Finanzas" w:value="Maestría en Finanzas"/>
            <w:listItem w:displayText="Maestría en Física" w:value="Maestría en Física"/>
            <w:listItem w:displayText="Maestría en Gerencia de Proyectos" w:value="Maestría en Gerencia de Proyectos"/>
            <w:listItem w:displayText="Maestría en Gestión Ambiental" w:value="Maestría en Gestión Ambiental"/>
            <w:listItem w:displayText="Maestría en Gestión de Ciencia, Tecnología e Innovación" w:value="Maestría en Gestión de Ciencia, Tecnología e Innovación"/>
            <w:listItem w:displayText="Maestría en Gestión Humana" w:value="Maestría en Gestión Humana"/>
            <w:listItem w:displayText="Maestría en Historia" w:value="Maestría en Historia"/>
            <w:listItem w:displayText="Maestría en Historia del Arte" w:value="Maestría en Historia del Arte"/>
            <w:listItem w:displayText="Maestría en Ingeniería" w:value="Maestría en Ingeniería"/>
            <w:listItem w:displayText="Maestría en Ingeniería Ambiental" w:value="Maestría en Ingeniería Ambiental"/>
            <w:listItem w:displayText="Maestría en Ingeniería de Materiales" w:value="Maestría en Ingeniería de Materiales"/>
            <w:listItem w:displayText="Maestría en Ingeniería de Telecomunicaciones" w:value="Maestría en Ingeniería de Telecomunicaciones"/>
            <w:listItem w:displayText="Maestría en Ingeniería Mecánica" w:value="Maestría en Ingeniería Mecánica"/>
            <w:listItem w:displayText="Maestría en Ingeniería Química" w:value="Maestría en Ingeniería Química"/>
            <w:listItem w:displayText="Maestría en Intervención Social" w:value="Maestría en Intervención Social"/>
            <w:listItem w:displayText="Maestría en Investigación Psicoanalítica" w:value="Maestría en Investigación Psicoanalítica"/>
            <w:listItem w:displayText="Maestría en Lingüística" w:value="Maestría en Lingüística"/>
            <w:listItem w:displayText="Maestría en Literatura" w:value="Maestría en Literatura"/>
            <w:listItem w:displayText="Maestría en Logística Integral" w:value="Maestría en Logística Integral"/>
            <w:listItem w:displayText="Maestría en Matemáticas" w:value="Maestría en Matemáticas"/>
            <w:listItem w:displayText="Maestría en Métodos Cuantitativos para Economía y Finanzas" w:value="Maestría en Métodos Cuantitativos para Economía y Finanzas"/>
            <w:listItem w:displayText="Maestría en Microbiología" w:value="Maestría en Microbiología"/>
            <w:listItem w:displayText="Maestría en Motricidad y Desarrollo Humano" w:value="Maestría en Motricidad y Desarrollo Humano"/>
            <w:listItem w:displayText="Maestría en Músicas de América Latina y el Caribe" w:value="Maestría en Músicas de América Latina y el Caribe"/>
            <w:listItem w:displayText="Maestría en Periodismo" w:value="Maestría en Periodismo"/>
            <w:listItem w:displayText="Maestría en Políticas Públicas" w:value="Maestría en Políticas Públicas"/>
            <w:listItem w:displayText="Maestría en Psicología" w:value="Maestría en Psicología"/>
            <w:listItem w:displayText="Maestría en Salud Ambiental" w:value="Maestría en Salud Ambiental"/>
            <w:listItem w:displayText="Maestría en Salud Colectiva" w:value="Maestría en Salud Colectiva"/>
            <w:listItem w:displayText="Maestría en Salud Mental" w:value="Maestría en Salud Mental"/>
            <w:listItem w:displayText="Maestría en Salud Pública" w:value="Maestría en Salud Pública"/>
            <w:listItem w:displayText="Maestría en Seguridad y Salud en el Trabajo" w:value="Maestría en Seguridad y Salud en el Trabajo"/>
            <w:listItem w:displayText="Maestría en Sociología" w:value="Maestría en Sociología"/>
            <w:listItem w:displayText="Maestría en Telesalud" w:value="Maestría en Telesalud"/>
            <w:listItem w:displayText="Maestría en Terapia Familiar y de Pareja" w:value="Maestría en Terapia Familiar y de Pareja"/>
            <w:listItem w:displayText="Maestría en Traducción" w:value="Maestría en Traducción"/>
            <w:listItem w:displayText="Matemáticas" w:value="Matemáticas"/>
            <w:listItem w:displayText="Medicina" w:value="Medicina"/>
            <w:listItem w:displayText="Medicina Veterinaria" w:value="Medicina Veterinaria"/>
            <w:listItem w:displayText="Microbiología Industrial y Ambiental" w:value="Microbiología Industrial y Ambiental"/>
            <w:listItem w:displayText="Microbiología y Bioanálisis" w:value="Microbiología y Bioanálisis"/>
            <w:listItem w:displayText="Música" w:value="Música"/>
            <w:listItem w:displayText="Musica Canto" w:value="Musica Canto"/>
            <w:listItem w:displayText="Nutrición y Dietética" w:value="Nutrición y Dietética"/>
            <w:listItem w:displayText="Oceanografía" w:value="Oceanografía"/>
            <w:listItem w:displayText="Odontología" w:value="Odontología"/>
            <w:listItem w:displayText="Pedagogía" w:value="Pedagogía"/>
            <w:listItem w:displayText="Periodismo" w:value="Periodismo"/>
            <w:listItem w:displayText="Psicología" w:value="Psicología"/>
            <w:listItem w:displayText="Química" w:value="Química"/>
            <w:listItem w:displayText="Química Farmacéutica" w:value="Química Farmacéutica"/>
            <w:listItem w:displayText="Sociología" w:value="Sociología"/>
            <w:listItem w:displayText="Técnica Profesional en Atención Prehospitalaria" w:value="Técnica Profesional en Atención Prehospitalaria"/>
            <w:listItem w:displayText="Tecnología Biomédica" w:value="Tecnología Biomédica"/>
            <w:listItem w:displayText="Tecnología de Alimentos" w:value="Tecnología de Alimentos"/>
            <w:listItem w:displayText="Tecnología en Administración de Servicios de Salud" w:value="Tecnología en Administración de Servicios de Salud"/>
            <w:listItem w:displayText="Tecnología en Artesanías" w:value="Tecnología en Artesanías"/>
            <w:listItem w:displayText="Tecnología en Gestión de Insumos Agropecuarios" w:value="Tecnología en Gestión de Insumos Agropecuarios"/>
            <w:listItem w:displayText="Tecnología en Joyería" w:value="Tecnología en Joyería"/>
            <w:listItem w:displayText="Tecnología en Regencia de Farmacia" w:value="Tecnología en Regencia de Farmacia"/>
            <w:listItem w:displayText="Tecnología en Saneamiento Ambiental" w:value="Tecnología en Saneamiento Ambiental"/>
            <w:listItem w:displayText="Tecnología en Sistemas de Información en Salud" w:value="Tecnología en Sistemas de Información en Salud"/>
            <w:listItem w:displayText="Tecnología Química" w:value="Tecnología Química"/>
            <w:listItem w:displayText="Trabajo Social" w:value="Trabajo Social"/>
            <w:listItem w:displayText="Traducción Inglés - Francés - Español" w:value="Traducción Inglés - Francés - Español"/>
            <w:listItem w:displayText="Zootecnia" w:value="Zootecnia"/>
          </w:dropDownList>
        </w:sdtPr>
        <w:sdtEndPr>
          <w:rPr>
            <w:rStyle w:val="Fuentedeprrafopredeter"/>
          </w:rPr>
        </w:sdtEndPr>
        <w:sdtContent>
          <w:r w:rsidRPr="008C0D94">
            <w:rPr>
              <w:rStyle w:val="TextocomentarioCar"/>
              <w:rFonts w:ascii="Times New Roman" w:hAnsi="Times New Roman" w:cs="Times New Roman"/>
              <w:sz w:val="24"/>
              <w:szCs w:val="24"/>
            </w:rPr>
            <w:t>Contaduría Pública</w:t>
          </w:r>
        </w:sdtContent>
      </w:sdt>
    </w:p>
    <w:bookmarkEnd w:id="3"/>
    <w:p w14:paraId="1AE48EF6" w14:textId="6912D7A1" w:rsidR="008C0D94" w:rsidRPr="008C0D94" w:rsidRDefault="008C0D94" w:rsidP="008C0D94">
      <w:pPr>
        <w:jc w:val="center"/>
        <w:rPr>
          <w:rFonts w:ascii="Times New Roman" w:hAnsi="Times New Roman" w:cs="Times New Roman"/>
          <w:sz w:val="24"/>
          <w:szCs w:val="24"/>
        </w:rPr>
      </w:pPr>
      <w:r w:rsidRPr="008C0D94">
        <w:rPr>
          <w:rFonts w:ascii="Times New Roman" w:hAnsi="Times New Roman" w:cs="Times New Roman"/>
          <w:sz w:val="24"/>
          <w:szCs w:val="24"/>
        </w:rPr>
        <w:t xml:space="preserve"> </w:t>
      </w:r>
      <w:sdt>
        <w:sdtPr>
          <w:rPr>
            <w:rFonts w:ascii="Times New Roman" w:hAnsi="Times New Roman" w:cs="Times New Roman"/>
            <w:sz w:val="24"/>
            <w:szCs w:val="24"/>
          </w:rPr>
          <w:alias w:val="Ciudad"/>
          <w:tag w:val="Ciudad"/>
          <w:id w:val="-742413268"/>
          <w:placeholder>
            <w:docPart w:val="F133D8F1D9504B1A89FFB1F89D4AC0C1"/>
          </w:placeholder>
          <w15:color w:val="008000"/>
          <w:dropDownList>
            <w:listItem w:displayText="Seleccione ciudad UdeA (A-Z)" w:value="Seleccione ciudad UdeA (A-Z)"/>
            <w:listItem w:displayText="Amalfi, Antioquia, Colombia" w:value="Amalfi, Antioquia, Colombia"/>
            <w:listItem w:displayText="Andes, Antioquia, Colombia" w:value="Andes, Antioquia, Colombia"/>
            <w:listItem w:displayText="Apartadó, Antioquia, Colombia" w:value="Apartadó, Antioquia, Colombia"/>
            <w:listItem w:displayText="Carepa, Antioquia, Colombia" w:value="Carepa, Antioquia, Colombia"/>
            <w:listItem w:displayText="Caucasia, Antioquia, Colombia" w:value="Caucasia, Antioquia, Colombia"/>
            <w:listItem w:displayText="El Carmen de Viboral, Antioquia, Colombia" w:value="El Carmen de Viboral, Antioquia, Colombia"/>
            <w:listItem w:displayText="Medellín, Antioquia, Colombia" w:value="Medellín, Antioquia, Colombia"/>
            <w:listItem w:displayText="Puerto Berrío, Antioquia, Colombia" w:value="Puerto Berrío, Antioquia, Colombia"/>
            <w:listItem w:displayText="Santa Fe de Antioquia, Antioquia, Colombia" w:value="Santa Fe de Antioquia, Antioquia, Colombia"/>
            <w:listItem w:displayText="Segovia, Antioquia, Colombia" w:value="Segovia, Antioquia, Colombia"/>
            <w:listItem w:displayText="Sonsón, Antioquia, Colombia" w:value="Sonsón, Antioquia, Colombia"/>
            <w:listItem w:displayText="Turbo, Antioquia, Colombia" w:value="Turbo, Antioquia, Colombia"/>
            <w:listItem w:displayText="Yarumal, Antioquia, Colombia" w:value="Yarumal, Antioquia, Colombia"/>
          </w:dropDownList>
        </w:sdtPr>
        <w:sdtContent>
          <w:r w:rsidRPr="008C0D94">
            <w:rPr>
              <w:rFonts w:ascii="Times New Roman" w:hAnsi="Times New Roman" w:cs="Times New Roman"/>
              <w:sz w:val="24"/>
              <w:szCs w:val="24"/>
            </w:rPr>
            <w:t>Medellín, Antioquia, Colombia</w:t>
          </w:r>
        </w:sdtContent>
      </w:sdt>
    </w:p>
    <w:p w14:paraId="4D4D37B4" w14:textId="2D9F024A" w:rsidR="008C0D94" w:rsidRPr="008C0D94" w:rsidRDefault="008C0D94" w:rsidP="008C0D94">
      <w:pPr>
        <w:jc w:val="center"/>
        <w:rPr>
          <w:rFonts w:ascii="Times New Roman" w:hAnsi="Times New Roman" w:cs="Times New Roman"/>
          <w:sz w:val="24"/>
          <w:szCs w:val="24"/>
        </w:rPr>
      </w:pPr>
      <w:sdt>
        <w:sdtPr>
          <w:rPr>
            <w:rFonts w:ascii="Times New Roman" w:hAnsi="Times New Roman" w:cs="Times New Roman"/>
            <w:sz w:val="24"/>
            <w:szCs w:val="24"/>
          </w:rPr>
          <w:alias w:val="Año grado"/>
          <w:tag w:val="Año grado"/>
          <w:id w:val="-1455008069"/>
          <w:placeholder>
            <w:docPart w:val="16226A1A2E1443DAAE4D5DBA56D868C5"/>
          </w:placeholder>
          <w15:color w:val="008000"/>
          <w:dropDownList>
            <w:listItem w:displayText="Seleccione año de grado" w:value="Seleccione año de grado"/>
            <w:listItem w:displayText="2021" w:value="2021"/>
            <w:listItem w:displayText="2022" w:value="2022"/>
            <w:listItem w:displayText="2023" w:value="2023"/>
            <w:listItem w:displayText="2024" w:value="2024"/>
            <w:listItem w:displayText="2025" w:value="2025"/>
          </w:dropDownList>
        </w:sdtPr>
        <w:sdtContent>
          <w:r w:rsidRPr="008C0D94">
            <w:rPr>
              <w:rFonts w:ascii="Times New Roman" w:hAnsi="Times New Roman" w:cs="Times New Roman"/>
              <w:sz w:val="24"/>
              <w:szCs w:val="24"/>
            </w:rPr>
            <w:t>2025</w:t>
          </w:r>
        </w:sdtContent>
      </w:sdt>
      <w:bookmarkEnd w:id="0"/>
    </w:p>
    <w:p w14:paraId="265EC10B" w14:textId="77777777" w:rsidR="008C0D94" w:rsidRPr="008C0D94" w:rsidRDefault="008C0D94" w:rsidP="008C0D94">
      <w:pPr>
        <w:spacing w:after="160" w:line="259" w:lineRule="auto"/>
        <w:rPr>
          <w:rFonts w:ascii="Times New Roman" w:hAnsi="Times New Roman" w:cs="Times New Roman"/>
          <w:sz w:val="24"/>
          <w:szCs w:val="24"/>
        </w:rPr>
      </w:pPr>
      <w:r w:rsidRPr="008C0D94">
        <w:rPr>
          <w:rFonts w:ascii="Times New Roman" w:hAnsi="Times New Roman" w:cs="Times New Roman"/>
          <w:sz w:val="24"/>
          <w:szCs w:val="24"/>
        </w:rPr>
        <w:br w:type="page"/>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6743"/>
      </w:tblGrid>
      <w:tr w:rsidR="008C0D94" w:rsidRPr="008C0D94" w14:paraId="214F3711" w14:textId="77777777" w:rsidTr="00A70DC3">
        <w:trPr>
          <w:trHeight w:val="397"/>
          <w:jc w:val="center"/>
        </w:trPr>
        <w:tc>
          <w:tcPr>
            <w:tcW w:w="2351" w:type="dxa"/>
            <w:tcBorders>
              <w:top w:val="single" w:sz="12" w:space="0" w:color="E36C0A" w:themeColor="accent6" w:themeShade="BF"/>
              <w:bottom w:val="single" w:sz="12" w:space="0" w:color="E36C0A" w:themeColor="accent6" w:themeShade="BF"/>
            </w:tcBorders>
            <w:vAlign w:val="center"/>
          </w:tcPr>
          <w:p w14:paraId="1C2095DF" w14:textId="77777777" w:rsidR="008C0D94" w:rsidRPr="008C0D94" w:rsidRDefault="008C0D94" w:rsidP="00A70DC3">
            <w:pPr>
              <w:spacing w:before="60" w:after="60"/>
              <w:jc w:val="center"/>
              <w:rPr>
                <w:rFonts w:cs="Times New Roman"/>
                <w:b/>
                <w:bCs/>
                <w:szCs w:val="20"/>
              </w:rPr>
            </w:pPr>
            <w:bookmarkStart w:id="4" w:name="_Hlk65068309"/>
            <w:r w:rsidRPr="008C0D94">
              <w:rPr>
                <w:rFonts w:cs="Times New Roman"/>
                <w:szCs w:val="24"/>
              </w:rPr>
              <w:lastRenderedPageBreak/>
              <w:br w:type="page"/>
            </w:r>
            <w:r w:rsidRPr="008C0D94">
              <w:rPr>
                <w:rFonts w:cs="Times New Roman"/>
                <w:b/>
                <w:bCs/>
                <w:szCs w:val="20"/>
              </w:rPr>
              <w:t>Cita</w:t>
            </w:r>
          </w:p>
        </w:tc>
        <w:tc>
          <w:tcPr>
            <w:tcW w:w="7053" w:type="dxa"/>
            <w:tcBorders>
              <w:top w:val="single" w:sz="12" w:space="0" w:color="E36C0A" w:themeColor="accent6" w:themeShade="BF"/>
              <w:bottom w:val="single" w:sz="12" w:space="0" w:color="E36C0A" w:themeColor="accent6" w:themeShade="BF"/>
            </w:tcBorders>
            <w:vAlign w:val="center"/>
          </w:tcPr>
          <w:p w14:paraId="29223B71" w14:textId="13EECF3F" w:rsidR="008C0D94" w:rsidRPr="008C0D94" w:rsidRDefault="008C0D94" w:rsidP="00A70DC3">
            <w:pPr>
              <w:spacing w:before="60" w:after="60" w:line="276" w:lineRule="auto"/>
              <w:jc w:val="center"/>
              <w:rPr>
                <w:rFonts w:cs="Times New Roman"/>
                <w:szCs w:val="20"/>
              </w:rPr>
            </w:pPr>
            <w:r w:rsidRPr="008C0D94">
              <w:rPr>
                <w:rFonts w:cs="Times New Roman"/>
                <w:szCs w:val="20"/>
              </w:rPr>
              <w:t>(</w:t>
            </w:r>
            <w:r w:rsidRPr="008C0D94">
              <w:rPr>
                <w:rFonts w:cs="Times New Roman"/>
                <w:szCs w:val="20"/>
              </w:rPr>
              <w:t>Valencia Gutiérrez</w:t>
            </w:r>
            <w:r w:rsidRPr="008C0D94">
              <w:rPr>
                <w:rFonts w:cs="Times New Roman"/>
                <w:szCs w:val="20"/>
              </w:rPr>
              <w:t xml:space="preserve"> &amp; </w:t>
            </w:r>
            <w:r w:rsidRPr="008C0D94">
              <w:rPr>
                <w:rFonts w:cs="Times New Roman"/>
                <w:szCs w:val="20"/>
              </w:rPr>
              <w:t>Villa Torres</w:t>
            </w:r>
            <w:r w:rsidRPr="008C0D94">
              <w:rPr>
                <w:rFonts w:cs="Times New Roman"/>
                <w:szCs w:val="20"/>
              </w:rPr>
              <w:t>, 20</w:t>
            </w:r>
            <w:r w:rsidRPr="008C0D94">
              <w:rPr>
                <w:rFonts w:cs="Times New Roman"/>
                <w:szCs w:val="20"/>
              </w:rPr>
              <w:t>25</w:t>
            </w:r>
            <w:r w:rsidRPr="008C0D94">
              <w:rPr>
                <w:rFonts w:cs="Times New Roman"/>
                <w:szCs w:val="20"/>
              </w:rPr>
              <w:t>)</w:t>
            </w:r>
          </w:p>
        </w:tc>
      </w:tr>
      <w:tr w:rsidR="008C0D94" w:rsidRPr="008C0D94" w14:paraId="01DE170C" w14:textId="77777777" w:rsidTr="00A70DC3">
        <w:trPr>
          <w:trHeight w:val="983"/>
          <w:jc w:val="center"/>
        </w:trPr>
        <w:tc>
          <w:tcPr>
            <w:tcW w:w="2351" w:type="dxa"/>
            <w:tcBorders>
              <w:top w:val="single" w:sz="12" w:space="0" w:color="E36C0A" w:themeColor="accent6" w:themeShade="BF"/>
              <w:bottom w:val="single" w:sz="12" w:space="0" w:color="E36C0A" w:themeColor="accent6" w:themeShade="BF"/>
            </w:tcBorders>
            <w:vAlign w:val="center"/>
          </w:tcPr>
          <w:p w14:paraId="770058EB" w14:textId="77777777" w:rsidR="008C0D94" w:rsidRPr="008C0D94" w:rsidRDefault="008C0D94" w:rsidP="00A70DC3">
            <w:pPr>
              <w:spacing w:before="60"/>
              <w:jc w:val="center"/>
              <w:rPr>
                <w:rFonts w:cs="Times New Roman"/>
                <w:b/>
                <w:bCs/>
                <w:szCs w:val="20"/>
              </w:rPr>
            </w:pPr>
            <w:r w:rsidRPr="008C0D94">
              <w:rPr>
                <w:rFonts w:cs="Times New Roman"/>
                <w:b/>
                <w:bCs/>
                <w:szCs w:val="20"/>
              </w:rPr>
              <w:t>Referencia</w:t>
            </w:r>
          </w:p>
          <w:p w14:paraId="63603617" w14:textId="77777777" w:rsidR="008C0D94" w:rsidRPr="008C0D94" w:rsidRDefault="008C0D94" w:rsidP="00A70DC3">
            <w:pPr>
              <w:jc w:val="center"/>
              <w:rPr>
                <w:rFonts w:cs="Times New Roman"/>
                <w:szCs w:val="20"/>
              </w:rPr>
            </w:pPr>
          </w:p>
          <w:p w14:paraId="7D0800F8" w14:textId="77777777" w:rsidR="008C0D94" w:rsidRPr="008C0D94" w:rsidRDefault="008C0D94" w:rsidP="00A70DC3">
            <w:pPr>
              <w:jc w:val="center"/>
              <w:rPr>
                <w:rFonts w:cs="Times New Roman"/>
                <w:szCs w:val="20"/>
              </w:rPr>
            </w:pPr>
            <w:r w:rsidRPr="008C0D94">
              <w:rPr>
                <w:rFonts w:cs="Times New Roman"/>
                <w:b/>
                <w:bCs/>
                <w:szCs w:val="20"/>
              </w:rPr>
              <w:t>Estilo APA 7 (2020)</w:t>
            </w:r>
          </w:p>
        </w:tc>
        <w:tc>
          <w:tcPr>
            <w:tcW w:w="7053" w:type="dxa"/>
            <w:tcBorders>
              <w:top w:val="single" w:sz="12" w:space="0" w:color="E36C0A" w:themeColor="accent6" w:themeShade="BF"/>
              <w:bottom w:val="single" w:sz="12" w:space="0" w:color="E36C0A" w:themeColor="accent6" w:themeShade="BF"/>
            </w:tcBorders>
          </w:tcPr>
          <w:p w14:paraId="371A2A86" w14:textId="15D21DEC" w:rsidR="008C0D94" w:rsidRPr="008C0D94" w:rsidRDefault="008C0D94" w:rsidP="008C0D94">
            <w:pPr>
              <w:jc w:val="center"/>
              <w:rPr>
                <w:rFonts w:cs="Times New Roman"/>
                <w:sz w:val="24"/>
                <w:szCs w:val="24"/>
              </w:rPr>
            </w:pPr>
            <w:r w:rsidRPr="008C0D94">
              <w:rPr>
                <w:rFonts w:cs="Times New Roman"/>
                <w:szCs w:val="20"/>
              </w:rPr>
              <w:t>Valencia Gutiérrez</w:t>
            </w:r>
            <w:r w:rsidRPr="008C0D94">
              <w:rPr>
                <w:rFonts w:cs="Times New Roman"/>
                <w:szCs w:val="20"/>
              </w:rPr>
              <w:t xml:space="preserve">, </w:t>
            </w:r>
            <w:r w:rsidRPr="008C0D94">
              <w:rPr>
                <w:rFonts w:cs="Times New Roman"/>
                <w:szCs w:val="20"/>
              </w:rPr>
              <w:t>M</w:t>
            </w:r>
            <w:r w:rsidRPr="008C0D94">
              <w:rPr>
                <w:rFonts w:cs="Times New Roman"/>
                <w:szCs w:val="20"/>
              </w:rPr>
              <w:t xml:space="preserve">., &amp; </w:t>
            </w:r>
            <w:r w:rsidRPr="008C0D94">
              <w:rPr>
                <w:rFonts w:cs="Times New Roman"/>
                <w:szCs w:val="20"/>
              </w:rPr>
              <w:t>Villa Torres</w:t>
            </w:r>
            <w:r w:rsidRPr="008C0D94">
              <w:rPr>
                <w:rFonts w:cs="Times New Roman"/>
                <w:szCs w:val="20"/>
              </w:rPr>
              <w:t xml:space="preserve">, </w:t>
            </w:r>
            <w:r w:rsidRPr="008C0D94">
              <w:rPr>
                <w:rFonts w:cs="Times New Roman"/>
                <w:szCs w:val="20"/>
              </w:rPr>
              <w:t>A</w:t>
            </w:r>
            <w:r w:rsidRPr="008C0D94">
              <w:rPr>
                <w:rFonts w:cs="Times New Roman"/>
                <w:szCs w:val="20"/>
              </w:rPr>
              <w:t>. (20</w:t>
            </w:r>
            <w:r w:rsidRPr="008C0D94">
              <w:rPr>
                <w:rFonts w:cs="Times New Roman"/>
                <w:szCs w:val="20"/>
              </w:rPr>
              <w:t>25</w:t>
            </w:r>
            <w:r w:rsidRPr="008C0D94">
              <w:rPr>
                <w:rFonts w:cs="Times New Roman"/>
                <w:szCs w:val="20"/>
              </w:rPr>
              <w:t>).</w:t>
            </w:r>
            <w:r w:rsidRPr="008C0D94">
              <w:rPr>
                <w:rFonts w:eastAsia="Times New Roman" w:cs="Times New Roman"/>
                <w:b/>
                <w:sz w:val="24"/>
                <w:szCs w:val="24"/>
              </w:rPr>
              <w:t xml:space="preserve"> </w:t>
            </w:r>
            <w:r w:rsidRPr="008C0D94">
              <w:rPr>
                <w:rFonts w:cs="Times New Roman"/>
                <w:i/>
                <w:szCs w:val="20"/>
              </w:rPr>
              <w:t xml:space="preserve">Gilinski vs Nutresa: </w:t>
            </w:r>
            <w:proofErr w:type="spellStart"/>
            <w:r w:rsidRPr="008C0D94">
              <w:rPr>
                <w:rFonts w:cs="Times New Roman"/>
                <w:i/>
                <w:szCs w:val="20"/>
              </w:rPr>
              <w:t>OPAs</w:t>
            </w:r>
            <w:proofErr w:type="spellEnd"/>
            <w:r w:rsidRPr="008C0D94">
              <w:rPr>
                <w:rFonts w:cs="Times New Roman"/>
                <w:i/>
                <w:szCs w:val="20"/>
              </w:rPr>
              <w:t>, Una Mirada Económica, Legal y Estratégica</w:t>
            </w:r>
            <w:r w:rsidRPr="008C0D94">
              <w:rPr>
                <w:rFonts w:cs="Times New Roman"/>
                <w:i/>
                <w:szCs w:val="20"/>
              </w:rPr>
              <w:t xml:space="preserve">, </w:t>
            </w:r>
            <w:r w:rsidRPr="008C0D94">
              <w:rPr>
                <w:rFonts w:cs="Times New Roman"/>
                <w:iCs/>
                <w:szCs w:val="20"/>
              </w:rPr>
              <w:t>[</w:t>
            </w:r>
            <w:sdt>
              <w:sdtPr>
                <w:rPr>
                  <w:rStyle w:val="Estilo10"/>
                  <w:rFonts w:cs="Times New Roman"/>
                  <w:szCs w:val="20"/>
                </w:rPr>
                <w:alias w:val="Modalidad de grado"/>
                <w:tag w:val="Tipo de artículo"/>
                <w:id w:val="1337426040"/>
                <w:placeholder>
                  <w:docPart w:val="BC53755FFC12408CBA46418304512CF2"/>
                </w:placeholder>
                <w15:color w:val="008000"/>
                <w:dropDownList>
                  <w:listItem w:displayText="Seleccione modalidad de grado" w:value="Seleccione modalidad de grado"/>
                  <w:listItem w:displayText="Informe de práctica" w:value="Informe de práctica"/>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Pr>
              </w:sdtEndPr>
              <w:sdtContent>
                <w:r w:rsidRPr="008C0D94">
                  <w:rPr>
                    <w:rStyle w:val="Estilo10"/>
                    <w:rFonts w:cs="Times New Roman"/>
                    <w:szCs w:val="20"/>
                  </w:rPr>
                  <w:t>Trabajo de grado profesional</w:t>
                </w:r>
              </w:sdtContent>
            </w:sdt>
            <w:r w:rsidRPr="008C0D94">
              <w:rPr>
                <w:rFonts w:cs="Times New Roman"/>
                <w:szCs w:val="20"/>
              </w:rPr>
              <w:t xml:space="preserve">]. Universidad de Antioquia, </w:t>
            </w:r>
            <w:sdt>
              <w:sdtPr>
                <w:rPr>
                  <w:rFonts w:cs="Times New Roman"/>
                  <w:szCs w:val="20"/>
                </w:rPr>
                <w:alias w:val="Ciudad"/>
                <w:tag w:val="Ciudad"/>
                <w:id w:val="423230337"/>
                <w:placeholder>
                  <w:docPart w:val="DC21CA825F3442A8B897B61405AED68C"/>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Content>
                <w:r w:rsidRPr="008C0D94">
                  <w:rPr>
                    <w:rFonts w:cs="Times New Roman"/>
                    <w:szCs w:val="20"/>
                  </w:rPr>
                  <w:t>Medellín, Colombia</w:t>
                </w:r>
              </w:sdtContent>
            </w:sdt>
            <w:r w:rsidRPr="008C0D94">
              <w:rPr>
                <w:rFonts w:cs="Times New Roman"/>
                <w:szCs w:val="20"/>
              </w:rPr>
              <w:t>.</w:t>
            </w:r>
            <w:r w:rsidRPr="008C0D94">
              <w:rPr>
                <w:rFonts w:cs="Times New Roman"/>
                <w:iCs/>
                <w:szCs w:val="20"/>
              </w:rPr>
              <w:t xml:space="preserve"> </w:t>
            </w:r>
          </w:p>
        </w:tc>
      </w:tr>
    </w:tbl>
    <w:p w14:paraId="4026DBF6" w14:textId="77777777" w:rsidR="008C0D94" w:rsidRPr="008C0D94" w:rsidRDefault="008C0D94" w:rsidP="008C0D94">
      <w:pPr>
        <w:rPr>
          <w:rFonts w:ascii="Times New Roman" w:hAnsi="Times New Roman" w:cs="Times New Roman"/>
          <w:b/>
          <w:noProof/>
          <w:szCs w:val="24"/>
        </w:rPr>
      </w:pPr>
      <w:r w:rsidRPr="008C0D94">
        <w:rPr>
          <w:rFonts w:ascii="Times New Roman" w:hAnsi="Times New Roman" w:cs="Times New Roman"/>
          <w:b/>
          <w:noProof/>
          <w:szCs w:val="24"/>
        </w:rPr>
        <w:drawing>
          <wp:inline distT="0" distB="0" distL="0" distR="0" wp14:anchorId="7911401D" wp14:editId="712AD713">
            <wp:extent cx="762000" cy="287979"/>
            <wp:effectExtent l="0" t="0" r="0" b="0"/>
            <wp:docPr id="1667668211" name="Imagen 1667668211" descr="Texto&#10;&#10;Descripción generada automáticamente con confianza baj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68211" name="Imagen 1667668211" descr="Texto&#10;&#10;Descripción generada automáticamente con confianza baja">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sidRPr="008C0D94">
        <w:rPr>
          <w:rFonts w:ascii="Times New Roman" w:hAnsi="Times New Roman" w:cs="Times New Roman"/>
          <w:b/>
          <w:noProof/>
          <w:szCs w:val="24"/>
        </w:rPr>
        <w:t xml:space="preserve"> </w:t>
      </w:r>
      <w:r w:rsidRPr="008C0D94">
        <w:rPr>
          <w:rFonts w:ascii="Times New Roman" w:hAnsi="Times New Roman" w:cs="Times New Roman"/>
          <w:noProof/>
        </w:rPr>
        <w:drawing>
          <wp:inline distT="0" distB="0" distL="0" distR="0" wp14:anchorId="0A88A811" wp14:editId="37A45CDB">
            <wp:extent cx="736600" cy="256427"/>
            <wp:effectExtent l="0" t="0" r="6350" b="0"/>
            <wp:docPr id="12" name="Imagen 12" descr="Creative Commons en periodismo: qué es y cómo usarlo">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10"/>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2DD1337A" w14:textId="77777777" w:rsidR="008C0D94" w:rsidRPr="008C0D94" w:rsidRDefault="008C0D94" w:rsidP="008C0D94">
      <w:pPr>
        <w:rPr>
          <w:rStyle w:val="Estilo4"/>
          <w:rFonts w:cs="Times New Roman"/>
          <w:sz w:val="20"/>
          <w:szCs w:val="20"/>
        </w:rPr>
      </w:pPr>
      <w:bookmarkStart w:id="5" w:name="_Hlk65069342"/>
      <w:bookmarkEnd w:id="4"/>
    </w:p>
    <w:p w14:paraId="4DB0A842" w14:textId="77777777" w:rsidR="008C0D94" w:rsidRPr="008C0D94" w:rsidRDefault="008C0D94" w:rsidP="008C0D94">
      <w:pPr>
        <w:rPr>
          <w:rStyle w:val="Estilo4"/>
          <w:rFonts w:cs="Times New Roman"/>
          <w:sz w:val="20"/>
          <w:szCs w:val="20"/>
        </w:rPr>
      </w:pPr>
      <w:bookmarkStart w:id="6" w:name="_Hlk66967260"/>
    </w:p>
    <w:p w14:paraId="63B3CFBE" w14:textId="77777777" w:rsidR="008C0D94" w:rsidRPr="008C0D94" w:rsidRDefault="008C0D94" w:rsidP="008C0D94">
      <w:pPr>
        <w:spacing w:before="120" w:after="120"/>
        <w:rPr>
          <w:rFonts w:ascii="Times New Roman" w:hAnsi="Times New Roman" w:cs="Times New Roman"/>
          <w:sz w:val="20"/>
          <w:szCs w:val="20"/>
        </w:rPr>
      </w:pPr>
      <w:bookmarkStart w:id="7" w:name="_Hlk64031905"/>
      <w:bookmarkStart w:id="8" w:name="_Hlk65683077"/>
      <w:bookmarkEnd w:id="6"/>
    </w:p>
    <w:bookmarkEnd w:id="7"/>
    <w:p w14:paraId="04358917" w14:textId="77777777" w:rsidR="008C0D94" w:rsidRPr="008C0D94" w:rsidRDefault="008C0D94" w:rsidP="008C0D94">
      <w:pPr>
        <w:rPr>
          <w:rFonts w:ascii="Times New Roman" w:hAnsi="Times New Roman" w:cs="Times New Roman"/>
          <w:bCs/>
          <w:sz w:val="20"/>
          <w:szCs w:val="20"/>
        </w:rPr>
      </w:pPr>
    </w:p>
    <w:p w14:paraId="14D8DB66" w14:textId="77777777" w:rsidR="008C0D94" w:rsidRPr="008C0D94" w:rsidRDefault="008C0D94" w:rsidP="008C0D94">
      <w:pPr>
        <w:rPr>
          <w:rFonts w:ascii="Times New Roman" w:hAnsi="Times New Roman" w:cs="Times New Roman"/>
          <w:sz w:val="20"/>
          <w:szCs w:val="20"/>
        </w:rPr>
      </w:pPr>
      <w:bookmarkStart w:id="9" w:name="_Hlk66966829"/>
      <w:bookmarkStart w:id="10" w:name="_Hlk65432254"/>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tblGrid>
      <w:tr w:rsidR="008C0D94" w:rsidRPr="008C0D94" w14:paraId="1806AFFE" w14:textId="77777777" w:rsidTr="00A70DC3">
        <w:tc>
          <w:tcPr>
            <w:tcW w:w="2410" w:type="dxa"/>
            <w:vAlign w:val="center"/>
          </w:tcPr>
          <w:p w14:paraId="5E6599B1" w14:textId="77777777" w:rsidR="008C0D94" w:rsidRPr="008C0D94" w:rsidRDefault="008C0D94" w:rsidP="00A70DC3">
            <w:pPr>
              <w:rPr>
                <w:rFonts w:cs="Times New Roman"/>
                <w:szCs w:val="20"/>
              </w:rPr>
            </w:pPr>
            <w:r w:rsidRPr="008C0D94">
              <w:rPr>
                <w:rFonts w:cs="Times New Roman"/>
                <w:noProof/>
                <w:szCs w:val="20"/>
              </w:rPr>
              <w:drawing>
                <wp:inline distT="0" distB="0" distL="0" distR="0" wp14:anchorId="378B1EBE" wp14:editId="1389FA67">
                  <wp:extent cx="1242104" cy="447910"/>
                  <wp:effectExtent l="0" t="0" r="0" b="9525"/>
                  <wp:docPr id="945673795" name="Imagen 94567379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73795" name="Imagen 945673795" descr="Text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p>
        </w:tc>
        <w:tc>
          <w:tcPr>
            <w:tcW w:w="2268" w:type="dxa"/>
            <w:vAlign w:val="center"/>
          </w:tcPr>
          <w:p w14:paraId="7AC5F9A2" w14:textId="77777777" w:rsidR="008C0D94" w:rsidRPr="008C0D94" w:rsidRDefault="008C0D94" w:rsidP="00A70DC3">
            <w:pPr>
              <w:rPr>
                <w:rFonts w:cs="Times New Roman"/>
                <w:szCs w:val="20"/>
              </w:rPr>
            </w:pPr>
            <w:r w:rsidRPr="008C0D94">
              <w:rPr>
                <w:rFonts w:cs="Times New Roman"/>
                <w:noProof/>
                <w:szCs w:val="20"/>
              </w:rPr>
              <w:drawing>
                <wp:inline distT="0" distB="0" distL="0" distR="0" wp14:anchorId="4C5EC33F" wp14:editId="1A8DBEB8">
                  <wp:extent cx="1247242" cy="457200"/>
                  <wp:effectExtent l="0" t="0" r="0" b="0"/>
                  <wp:docPr id="7" name="Imagen 7"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4"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1" w:name="_Hlk65675049"/>
    <w:bookmarkStart w:id="12" w:name="_Hlk66967153"/>
    <w:bookmarkStart w:id="13" w:name="_Hlk64031990"/>
    <w:p w14:paraId="539A6BBA" w14:textId="6E7440A4" w:rsidR="008C0D94" w:rsidRPr="008C0D94" w:rsidRDefault="008C0D94" w:rsidP="008C0D94">
      <w:pPr>
        <w:spacing w:before="120" w:after="120" w:line="240" w:lineRule="auto"/>
        <w:rPr>
          <w:rFonts w:ascii="Times New Roman" w:hAnsi="Times New Roman" w:cs="Times New Roman"/>
          <w:sz w:val="20"/>
          <w:szCs w:val="20"/>
        </w:rPr>
      </w:pPr>
      <w:sdt>
        <w:sdtPr>
          <w:rPr>
            <w:rStyle w:val="TextocomentarioCar"/>
            <w:rFonts w:ascii="Times New Roman" w:hAnsi="Times New Roman" w:cs="Times New Roman"/>
          </w:rPr>
          <w:alias w:val="Biblioteca, CRAI o centro de documentación"/>
          <w:tag w:val="Biblioteca, CRAI o centro de documentación"/>
          <w:id w:val="-469741738"/>
          <w:placeholder>
            <w:docPart w:val="B860C9998E294657948A749B94B1BBCB"/>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sz w:val="22"/>
            <w:szCs w:val="22"/>
          </w:rPr>
        </w:sdtEndPr>
        <w:sdtContent>
          <w:r w:rsidRPr="008C0D94">
            <w:rPr>
              <w:rStyle w:val="TextocomentarioCar"/>
              <w:rFonts w:ascii="Times New Roman" w:hAnsi="Times New Roman" w:cs="Times New Roman"/>
            </w:rPr>
            <w:t>Biblioteca Carlos Gaviria Díaz</w:t>
          </w:r>
        </w:sdtContent>
      </w:sdt>
      <w:r w:rsidRPr="008C0D94">
        <w:rPr>
          <w:rFonts w:ascii="Times New Roman" w:hAnsi="Times New Roman" w:cs="Times New Roman"/>
        </w:rPr>
        <w:t xml:space="preserve"> </w:t>
      </w:r>
    </w:p>
    <w:bookmarkEnd w:id="11"/>
    <w:bookmarkEnd w:id="12"/>
    <w:p w14:paraId="6623B135" w14:textId="77777777" w:rsidR="008C0D94" w:rsidRPr="008C0D94" w:rsidRDefault="008C0D94" w:rsidP="008C0D94">
      <w:pPr>
        <w:spacing w:before="120" w:after="120" w:line="240" w:lineRule="auto"/>
        <w:rPr>
          <w:rFonts w:ascii="Times New Roman" w:hAnsi="Times New Roman" w:cs="Times New Roman"/>
          <w:b/>
          <w:bCs/>
          <w:sz w:val="20"/>
          <w:szCs w:val="20"/>
        </w:rPr>
      </w:pPr>
    </w:p>
    <w:p w14:paraId="02523B03" w14:textId="77777777" w:rsidR="008C0D94" w:rsidRPr="008C0D94" w:rsidRDefault="008C0D94" w:rsidP="008C0D94">
      <w:pPr>
        <w:spacing w:before="120" w:after="120" w:line="240" w:lineRule="auto"/>
        <w:rPr>
          <w:rFonts w:ascii="Times New Roman" w:hAnsi="Times New Roman" w:cs="Times New Roman"/>
          <w:sz w:val="20"/>
          <w:szCs w:val="20"/>
        </w:rPr>
      </w:pPr>
      <w:r w:rsidRPr="008C0D94">
        <w:rPr>
          <w:rFonts w:ascii="Times New Roman" w:hAnsi="Times New Roman" w:cs="Times New Roman"/>
          <w:b/>
          <w:bCs/>
          <w:sz w:val="20"/>
          <w:szCs w:val="20"/>
        </w:rPr>
        <w:t>Repositorio Institucional:</w:t>
      </w:r>
      <w:r w:rsidRPr="008C0D94">
        <w:rPr>
          <w:rFonts w:ascii="Times New Roman" w:hAnsi="Times New Roman" w:cs="Times New Roman"/>
          <w:sz w:val="20"/>
          <w:szCs w:val="20"/>
        </w:rPr>
        <w:t xml:space="preserve"> http://bibliotecadigital.udea.edu.co</w:t>
      </w:r>
    </w:p>
    <w:bookmarkEnd w:id="9"/>
    <w:p w14:paraId="27AEA620" w14:textId="77777777" w:rsidR="008C0D94" w:rsidRPr="008C0D94" w:rsidRDefault="008C0D94" w:rsidP="008C0D94">
      <w:pPr>
        <w:rPr>
          <w:rFonts w:ascii="Times New Roman" w:hAnsi="Times New Roman" w:cs="Times New Roman"/>
          <w:sz w:val="20"/>
          <w:szCs w:val="20"/>
        </w:rPr>
      </w:pPr>
    </w:p>
    <w:p w14:paraId="7227F0C4" w14:textId="77777777" w:rsidR="008C0D94" w:rsidRPr="008C0D94" w:rsidRDefault="008C0D94" w:rsidP="008C0D94">
      <w:pPr>
        <w:rPr>
          <w:rFonts w:ascii="Times New Roman" w:hAnsi="Times New Roman" w:cs="Times New Roman"/>
          <w:sz w:val="20"/>
          <w:szCs w:val="20"/>
        </w:rPr>
      </w:pPr>
      <w:r w:rsidRPr="008C0D94">
        <w:rPr>
          <w:rFonts w:ascii="Times New Roman" w:hAnsi="Times New Roman" w:cs="Times New Roman"/>
          <w:sz w:val="20"/>
          <w:szCs w:val="20"/>
        </w:rPr>
        <w:t>Universidad de Antioquia - www.udea.edu.co</w:t>
      </w:r>
    </w:p>
    <w:p w14:paraId="014C8991" w14:textId="77777777" w:rsidR="008C0D94" w:rsidRPr="008C0D94" w:rsidRDefault="008C0D94" w:rsidP="008C0D94">
      <w:pPr>
        <w:rPr>
          <w:rFonts w:ascii="Times New Roman" w:hAnsi="Times New Roman" w:cs="Times New Roman"/>
          <w:sz w:val="20"/>
          <w:szCs w:val="20"/>
        </w:rPr>
      </w:pPr>
    </w:p>
    <w:p w14:paraId="7046249D" w14:textId="77777777" w:rsidR="008C0D94" w:rsidRPr="008C0D94" w:rsidRDefault="008C0D94" w:rsidP="008C0D94">
      <w:pPr>
        <w:rPr>
          <w:rFonts w:ascii="Times New Roman" w:hAnsi="Times New Roman" w:cs="Times New Roman"/>
          <w:sz w:val="20"/>
          <w:szCs w:val="20"/>
        </w:rPr>
      </w:pPr>
    </w:p>
    <w:p w14:paraId="4DF789EE" w14:textId="77777777" w:rsidR="008C0D94" w:rsidRPr="008C0D94" w:rsidRDefault="008C0D94" w:rsidP="008C0D94">
      <w:pPr>
        <w:rPr>
          <w:rFonts w:ascii="Times New Roman" w:hAnsi="Times New Roman" w:cs="Times New Roman"/>
          <w:szCs w:val="24"/>
        </w:rPr>
      </w:pPr>
      <w:r w:rsidRPr="008C0D94">
        <w:rPr>
          <w:rFonts w:ascii="Times New Roman" w:hAnsi="Times New Roman" w:cs="Times New Roman"/>
          <w:sz w:val="20"/>
          <w:szCs w:val="20"/>
        </w:rPr>
        <w:t>El contenido de esta obra corresponde al derecho de expresión de los autores y no compromete el pensamiento institucional de la Universidad de Antioquia ni desata su responsabilidad frente a terceros. Los autores asumen la responsabilidad por los derechos de autor y conexos.</w:t>
      </w:r>
      <w:bookmarkEnd w:id="5"/>
      <w:bookmarkEnd w:id="8"/>
      <w:bookmarkEnd w:id="10"/>
      <w:bookmarkEnd w:id="13"/>
    </w:p>
    <w:p w14:paraId="4A94BDD4" w14:textId="77777777" w:rsidR="008C0D94" w:rsidRDefault="008C0D94">
      <w:pPr>
        <w:spacing w:after="160" w:line="240" w:lineRule="auto"/>
        <w:rPr>
          <w:rFonts w:ascii="Times New Roman" w:eastAsia="Times New Roman" w:hAnsi="Times New Roman" w:cs="Times New Roman"/>
          <w:b/>
          <w:sz w:val="24"/>
          <w:szCs w:val="24"/>
        </w:rPr>
        <w:sectPr w:rsidR="008C0D94" w:rsidSect="008C0D94">
          <w:headerReference w:type="default" r:id="rId15"/>
          <w:pgSz w:w="11909" w:h="16834"/>
          <w:pgMar w:top="1440" w:right="1440" w:bottom="1440" w:left="1440" w:header="720" w:footer="720" w:gutter="0"/>
          <w:pgNumType w:start="1"/>
          <w:cols w:space="720"/>
          <w:titlePg/>
          <w:docGrid w:linePitch="299"/>
        </w:sectPr>
      </w:pPr>
    </w:p>
    <w:sdt>
      <w:sdtPr>
        <w:rPr>
          <w:lang w:val="es-ES"/>
        </w:rPr>
        <w:id w:val="-949094946"/>
        <w:docPartObj>
          <w:docPartGallery w:val="Table of Contents"/>
          <w:docPartUnique/>
        </w:docPartObj>
      </w:sdtPr>
      <w:sdtEndPr>
        <w:rPr>
          <w:rFonts w:ascii="Times New Roman" w:eastAsia="Arial" w:hAnsi="Times New Roman" w:cs="Times New Roman"/>
          <w:b/>
          <w:bCs/>
          <w:color w:val="auto"/>
          <w:sz w:val="24"/>
          <w:szCs w:val="24"/>
        </w:rPr>
      </w:sdtEndPr>
      <w:sdtContent>
        <w:p w14:paraId="2F125680" w14:textId="36D25195" w:rsidR="001A582D" w:rsidRPr="001A582D" w:rsidRDefault="001A582D" w:rsidP="001A582D">
          <w:pPr>
            <w:pStyle w:val="TtuloTDC"/>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lang w:val="es-ES"/>
            </w:rPr>
            <w:t>Tabla de contenido</w:t>
          </w:r>
        </w:p>
        <w:p w14:paraId="5263EDB6" w14:textId="539FCBB0" w:rsidR="001A582D" w:rsidRDefault="001A582D">
          <w:pPr>
            <w:pStyle w:val="TDC1"/>
            <w:tabs>
              <w:tab w:val="right" w:leader="dot" w:pos="9019"/>
            </w:tabs>
            <w:rPr>
              <w:rFonts w:asciiTheme="minorHAnsi" w:eastAsiaTheme="minorEastAsia" w:hAnsiTheme="minorHAnsi" w:cstheme="minorBidi"/>
              <w:noProof/>
              <w:kern w:val="2"/>
              <w:sz w:val="24"/>
              <w:szCs w:val="24"/>
              <w:lang w:val="es-CO"/>
              <w14:ligatures w14:val="standardContextual"/>
            </w:rPr>
          </w:pPr>
          <w:r w:rsidRPr="001A582D">
            <w:rPr>
              <w:rFonts w:ascii="Times New Roman" w:hAnsi="Times New Roman" w:cs="Times New Roman"/>
              <w:sz w:val="24"/>
              <w:szCs w:val="24"/>
            </w:rPr>
            <w:fldChar w:fldCharType="begin"/>
          </w:r>
          <w:r w:rsidRPr="001A582D">
            <w:rPr>
              <w:rFonts w:ascii="Times New Roman" w:hAnsi="Times New Roman" w:cs="Times New Roman"/>
              <w:sz w:val="24"/>
              <w:szCs w:val="24"/>
            </w:rPr>
            <w:instrText xml:space="preserve"> TOC \o "1-3" \h \z \u </w:instrText>
          </w:r>
          <w:r w:rsidRPr="001A582D">
            <w:rPr>
              <w:rFonts w:ascii="Times New Roman" w:hAnsi="Times New Roman" w:cs="Times New Roman"/>
              <w:sz w:val="24"/>
              <w:szCs w:val="24"/>
            </w:rPr>
            <w:fldChar w:fldCharType="separate"/>
          </w:r>
          <w:hyperlink w:anchor="_Toc189565327" w:history="1">
            <w:r w:rsidRPr="001B623B">
              <w:rPr>
                <w:rStyle w:val="Hipervnculo"/>
                <w:noProof/>
              </w:rPr>
              <w:t>Resumen</w:t>
            </w:r>
            <w:r>
              <w:rPr>
                <w:noProof/>
                <w:webHidden/>
              </w:rPr>
              <w:tab/>
            </w:r>
            <w:r>
              <w:rPr>
                <w:noProof/>
                <w:webHidden/>
              </w:rPr>
              <w:fldChar w:fldCharType="begin"/>
            </w:r>
            <w:r>
              <w:rPr>
                <w:noProof/>
                <w:webHidden/>
              </w:rPr>
              <w:instrText xml:space="preserve"> PAGEREF _Toc189565327 \h </w:instrText>
            </w:r>
            <w:r>
              <w:rPr>
                <w:noProof/>
                <w:webHidden/>
              </w:rPr>
            </w:r>
            <w:r>
              <w:rPr>
                <w:noProof/>
                <w:webHidden/>
              </w:rPr>
              <w:fldChar w:fldCharType="separate"/>
            </w:r>
            <w:r>
              <w:rPr>
                <w:noProof/>
                <w:webHidden/>
              </w:rPr>
              <w:t>4</w:t>
            </w:r>
            <w:r>
              <w:rPr>
                <w:noProof/>
                <w:webHidden/>
              </w:rPr>
              <w:fldChar w:fldCharType="end"/>
            </w:r>
          </w:hyperlink>
        </w:p>
        <w:p w14:paraId="5EA34B9D" w14:textId="2C7E41AA" w:rsidR="001A582D" w:rsidRPr="001A582D" w:rsidRDefault="001A582D">
          <w:pPr>
            <w:pStyle w:val="TDC1"/>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28" w:history="1">
            <w:r w:rsidRPr="001A582D">
              <w:rPr>
                <w:rStyle w:val="Hipervnculo"/>
                <w:rFonts w:ascii="Times New Roman" w:hAnsi="Times New Roman" w:cs="Times New Roman"/>
                <w:noProof/>
              </w:rPr>
              <w:t>Abstract</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_Toc189565328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5</w:t>
            </w:r>
            <w:r w:rsidRPr="001A582D">
              <w:rPr>
                <w:rFonts w:ascii="Times New Roman" w:hAnsi="Times New Roman" w:cs="Times New Roman"/>
                <w:noProof/>
                <w:webHidden/>
              </w:rPr>
              <w:fldChar w:fldCharType="end"/>
            </w:r>
          </w:hyperlink>
        </w:p>
        <w:p w14:paraId="3998A079" w14:textId="0E5760B2" w:rsidR="001A582D" w:rsidRPr="001A582D" w:rsidRDefault="001A582D">
          <w:pPr>
            <w:pStyle w:val="TDC1"/>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29" w:history="1">
            <w:r w:rsidRPr="001A582D">
              <w:rPr>
                <w:rStyle w:val="Hipervnculo"/>
                <w:rFonts w:ascii="Times New Roman" w:hAnsi="Times New Roman" w:cs="Times New Roman"/>
                <w:noProof/>
              </w:rPr>
              <w:t>Introducción</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_Toc189565329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6</w:t>
            </w:r>
            <w:r w:rsidRPr="001A582D">
              <w:rPr>
                <w:rFonts w:ascii="Times New Roman" w:hAnsi="Times New Roman" w:cs="Times New Roman"/>
                <w:noProof/>
                <w:webHidden/>
              </w:rPr>
              <w:fldChar w:fldCharType="end"/>
            </w:r>
          </w:hyperlink>
        </w:p>
        <w:p w14:paraId="2F512503" w14:textId="259A2DF6" w:rsidR="001A582D" w:rsidRPr="001A582D" w:rsidRDefault="001A582D">
          <w:pPr>
            <w:pStyle w:val="TDC1"/>
            <w:tabs>
              <w:tab w:val="left" w:pos="480"/>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0" w:history="1">
            <w:r w:rsidRPr="001A582D">
              <w:rPr>
                <w:rStyle w:val="Hipervnculo"/>
                <w:rFonts w:ascii="Times New Roman" w:hAnsi="Times New Roman" w:cs="Times New Roman"/>
                <w:noProof/>
              </w:rPr>
              <w:t>1.</w:t>
            </w:r>
            <w:r w:rsidRPr="001A582D">
              <w:rPr>
                <w:rFonts w:ascii="Times New Roman" w:eastAsiaTheme="minorEastAsia" w:hAnsi="Times New Roman" w:cs="Times New Roman"/>
                <w:noProof/>
                <w:kern w:val="2"/>
                <w:sz w:val="24"/>
                <w:szCs w:val="24"/>
                <w:lang w:val="es-CO"/>
                <w14:ligatures w14:val="standardContextual"/>
              </w:rPr>
              <w:tab/>
            </w:r>
            <w:r w:rsidRPr="001A582D">
              <w:rPr>
                <w:rStyle w:val="Hipervnculo"/>
                <w:rFonts w:ascii="Times New Roman" w:hAnsi="Times New Roman" w:cs="Times New Roman"/>
                <w:noProof/>
              </w:rPr>
              <w:t>Estrategias Empresariales: Impulsando el Control</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_Toc189565330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7</w:t>
            </w:r>
            <w:r w:rsidRPr="001A582D">
              <w:rPr>
                <w:rFonts w:ascii="Times New Roman" w:hAnsi="Times New Roman" w:cs="Times New Roman"/>
                <w:noProof/>
                <w:webHidden/>
              </w:rPr>
              <w:fldChar w:fldCharType="end"/>
            </w:r>
          </w:hyperlink>
        </w:p>
        <w:p w14:paraId="5705C2E0" w14:textId="211A2E80"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1" w:history="1">
            <w:r w:rsidRPr="001A582D">
              <w:rPr>
                <w:rStyle w:val="Hipervnculo"/>
                <w:rFonts w:ascii="Times New Roman" w:hAnsi="Times New Roman" w:cs="Times New Roman"/>
                <w:noProof/>
              </w:rPr>
              <w:t>1.1 Caracterizando los Grupos Económicos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_Toc189565331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7</w:t>
            </w:r>
            <w:r w:rsidRPr="001A582D">
              <w:rPr>
                <w:rFonts w:ascii="Times New Roman" w:hAnsi="Times New Roman" w:cs="Times New Roman"/>
                <w:noProof/>
                <w:webHidden/>
              </w:rPr>
              <w:fldChar w:fldCharType="end"/>
            </w:r>
          </w:hyperlink>
        </w:p>
        <w:p w14:paraId="1311DC9A" w14:textId="3208C835"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2" w:history="1">
            <w:r w:rsidRPr="001A582D">
              <w:rPr>
                <w:rStyle w:val="Hipervnculo"/>
                <w:rFonts w:ascii="Times New Roman" w:hAnsi="Times New Roman" w:cs="Times New Roman"/>
                <w:noProof/>
              </w:rPr>
              <w:t>1.2 Teorías alineadas a los Grupos Empresariales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_Toc189565332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10</w:t>
            </w:r>
            <w:r w:rsidRPr="001A582D">
              <w:rPr>
                <w:rFonts w:ascii="Times New Roman" w:hAnsi="Times New Roman" w:cs="Times New Roman"/>
                <w:noProof/>
                <w:webHidden/>
              </w:rPr>
              <w:fldChar w:fldCharType="end"/>
            </w:r>
          </w:hyperlink>
        </w:p>
        <w:p w14:paraId="2F48AF87" w14:textId="5A21DBD0" w:rsidR="001A582D" w:rsidRPr="001A582D" w:rsidRDefault="001A582D">
          <w:pPr>
            <w:pStyle w:val="TDC1"/>
            <w:tabs>
              <w:tab w:val="left" w:pos="480"/>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3" w:history="1">
            <w:r w:rsidRPr="001A582D">
              <w:rPr>
                <w:rStyle w:val="Hipervnculo"/>
                <w:rFonts w:ascii="Times New Roman" w:hAnsi="Times New Roman" w:cs="Times New Roman"/>
                <w:noProof/>
              </w:rPr>
              <w:t>2.</w:t>
            </w:r>
            <w:r w:rsidRPr="001A582D">
              <w:rPr>
                <w:rFonts w:ascii="Times New Roman" w:eastAsiaTheme="minorEastAsia" w:hAnsi="Times New Roman" w:cs="Times New Roman"/>
                <w:noProof/>
                <w:kern w:val="2"/>
                <w:sz w:val="24"/>
                <w:szCs w:val="24"/>
                <w:lang w:val="es-CO"/>
                <w14:ligatures w14:val="standardContextual"/>
              </w:rPr>
              <w:tab/>
            </w:r>
            <w:r w:rsidRPr="001A582D">
              <w:rPr>
                <w:rStyle w:val="Hipervnculo"/>
                <w:rFonts w:ascii="Times New Roman" w:hAnsi="Times New Roman" w:cs="Times New Roman"/>
                <w:noProof/>
              </w:rPr>
              <w:t>El inicio del escenario GEA-GILINSKI</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_Toc189565333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12</w:t>
            </w:r>
            <w:r w:rsidRPr="001A582D">
              <w:rPr>
                <w:rFonts w:ascii="Times New Roman" w:hAnsi="Times New Roman" w:cs="Times New Roman"/>
                <w:noProof/>
                <w:webHidden/>
              </w:rPr>
              <w:fldChar w:fldCharType="end"/>
            </w:r>
          </w:hyperlink>
        </w:p>
        <w:p w14:paraId="12828EA2" w14:textId="7DEB0977"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4" w:history="1">
            <w:r w:rsidRPr="001A582D">
              <w:rPr>
                <w:rStyle w:val="Hipervnculo"/>
                <w:rFonts w:ascii="Times New Roman" w:hAnsi="Times New Roman" w:cs="Times New Roman"/>
                <w:noProof/>
              </w:rPr>
              <w:t>2.1 Caracterizando las OPAs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_Toc189565334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12</w:t>
            </w:r>
            <w:r w:rsidRPr="001A582D">
              <w:rPr>
                <w:rFonts w:ascii="Times New Roman" w:hAnsi="Times New Roman" w:cs="Times New Roman"/>
                <w:noProof/>
                <w:webHidden/>
              </w:rPr>
              <w:fldChar w:fldCharType="end"/>
            </w:r>
          </w:hyperlink>
        </w:p>
        <w:p w14:paraId="35A6A65B" w14:textId="2B83D8BE"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5" w:history="1">
            <w:r w:rsidRPr="001A582D">
              <w:rPr>
                <w:rStyle w:val="Hipervnculo"/>
                <w:rFonts w:ascii="Times New Roman" w:hAnsi="Times New Roman" w:cs="Times New Roman"/>
                <w:noProof/>
              </w:rPr>
              <w:t>2.2 Actores clave en el conflicto</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_Toc189565335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14</w:t>
            </w:r>
            <w:r w:rsidRPr="001A582D">
              <w:rPr>
                <w:rFonts w:ascii="Times New Roman" w:hAnsi="Times New Roman" w:cs="Times New Roman"/>
                <w:noProof/>
                <w:webHidden/>
              </w:rPr>
              <w:fldChar w:fldCharType="end"/>
            </w:r>
          </w:hyperlink>
        </w:p>
        <w:p w14:paraId="5548D22A" w14:textId="1429B7BC"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6" w:history="1">
            <w:r w:rsidRPr="001A582D">
              <w:rPr>
                <w:rStyle w:val="Hipervnculo"/>
                <w:rFonts w:ascii="Times New Roman" w:hAnsi="Times New Roman" w:cs="Times New Roman"/>
                <w:noProof/>
              </w:rPr>
              <w:t>2.3 Desarrollo de las OPAS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_Toc189565336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16</w:t>
            </w:r>
            <w:r w:rsidRPr="001A582D">
              <w:rPr>
                <w:rFonts w:ascii="Times New Roman" w:hAnsi="Times New Roman" w:cs="Times New Roman"/>
                <w:noProof/>
                <w:webHidden/>
              </w:rPr>
              <w:fldChar w:fldCharType="end"/>
            </w:r>
          </w:hyperlink>
        </w:p>
        <w:p w14:paraId="65B37EAE" w14:textId="40A975E1"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7" w:history="1">
            <w:r w:rsidRPr="001A582D">
              <w:rPr>
                <w:rStyle w:val="Hipervnculo"/>
                <w:rFonts w:ascii="Times New Roman" w:hAnsi="Times New Roman" w:cs="Times New Roman"/>
                <w:noProof/>
              </w:rPr>
              <w:t>2.4 Actualidad del conflicto empresarial.</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_Toc189565337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18</w:t>
            </w:r>
            <w:r w:rsidRPr="001A582D">
              <w:rPr>
                <w:rFonts w:ascii="Times New Roman" w:hAnsi="Times New Roman" w:cs="Times New Roman"/>
                <w:noProof/>
                <w:webHidden/>
              </w:rPr>
              <w:fldChar w:fldCharType="end"/>
            </w:r>
          </w:hyperlink>
        </w:p>
        <w:p w14:paraId="320FC8DB" w14:textId="514F5DC4" w:rsidR="001A582D" w:rsidRPr="001A582D" w:rsidRDefault="001A582D">
          <w:pPr>
            <w:pStyle w:val="TDC1"/>
            <w:tabs>
              <w:tab w:val="left" w:pos="480"/>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8" w:history="1">
            <w:r w:rsidRPr="001A582D">
              <w:rPr>
                <w:rStyle w:val="Hipervnculo"/>
                <w:rFonts w:ascii="Times New Roman" w:hAnsi="Times New Roman" w:cs="Times New Roman"/>
                <w:noProof/>
              </w:rPr>
              <w:t>3.</w:t>
            </w:r>
            <w:r w:rsidRPr="001A582D">
              <w:rPr>
                <w:rFonts w:ascii="Times New Roman" w:eastAsiaTheme="minorEastAsia" w:hAnsi="Times New Roman" w:cs="Times New Roman"/>
                <w:noProof/>
                <w:kern w:val="2"/>
                <w:sz w:val="24"/>
                <w:szCs w:val="24"/>
                <w:lang w:val="es-CO"/>
                <w14:ligatures w14:val="standardContextual"/>
              </w:rPr>
              <w:tab/>
            </w:r>
            <w:r w:rsidRPr="001A582D">
              <w:rPr>
                <w:rStyle w:val="Hipervnculo"/>
                <w:rFonts w:ascii="Times New Roman" w:hAnsi="Times New Roman" w:cs="Times New Roman"/>
                <w:noProof/>
              </w:rPr>
              <w:t>Metodología:</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_Toc189565338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23</w:t>
            </w:r>
            <w:r w:rsidRPr="001A582D">
              <w:rPr>
                <w:rFonts w:ascii="Times New Roman" w:hAnsi="Times New Roman" w:cs="Times New Roman"/>
                <w:noProof/>
                <w:webHidden/>
              </w:rPr>
              <w:fldChar w:fldCharType="end"/>
            </w:r>
          </w:hyperlink>
        </w:p>
        <w:p w14:paraId="229945C3" w14:textId="6E60FAF8" w:rsidR="001A582D" w:rsidRPr="001A582D" w:rsidRDefault="001A582D">
          <w:pPr>
            <w:pStyle w:val="TDC1"/>
            <w:tabs>
              <w:tab w:val="left" w:pos="480"/>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39" w:history="1">
            <w:r w:rsidRPr="001A582D">
              <w:rPr>
                <w:rStyle w:val="Hipervnculo"/>
                <w:rFonts w:ascii="Times New Roman" w:hAnsi="Times New Roman" w:cs="Times New Roman"/>
                <w:noProof/>
              </w:rPr>
              <w:t>4.</w:t>
            </w:r>
            <w:r w:rsidRPr="001A582D">
              <w:rPr>
                <w:rFonts w:ascii="Times New Roman" w:eastAsiaTheme="minorEastAsia" w:hAnsi="Times New Roman" w:cs="Times New Roman"/>
                <w:noProof/>
                <w:kern w:val="2"/>
                <w:sz w:val="24"/>
                <w:szCs w:val="24"/>
                <w:lang w:val="es-CO"/>
                <w14:ligatures w14:val="standardContextual"/>
              </w:rPr>
              <w:tab/>
            </w:r>
            <w:r w:rsidRPr="001A582D">
              <w:rPr>
                <w:rStyle w:val="Hipervnculo"/>
                <w:rFonts w:ascii="Times New Roman" w:hAnsi="Times New Roman" w:cs="Times New Roman"/>
                <w:noProof/>
              </w:rPr>
              <w:t>Resultados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_Toc189565339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23</w:t>
            </w:r>
            <w:r w:rsidRPr="001A582D">
              <w:rPr>
                <w:rFonts w:ascii="Times New Roman" w:hAnsi="Times New Roman" w:cs="Times New Roman"/>
                <w:noProof/>
                <w:webHidden/>
              </w:rPr>
              <w:fldChar w:fldCharType="end"/>
            </w:r>
          </w:hyperlink>
        </w:p>
        <w:p w14:paraId="6D161943" w14:textId="78802904"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40" w:history="1">
            <w:r w:rsidRPr="001A582D">
              <w:rPr>
                <w:rStyle w:val="Hipervnculo"/>
                <w:rFonts w:ascii="Times New Roman" w:hAnsi="Times New Roman" w:cs="Times New Roman"/>
                <w:noProof/>
              </w:rPr>
              <w:t>4.1 Incidencias Económicas de las Ofertas Públicas de Acciones sobre Nutresa</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_Toc189565340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24</w:t>
            </w:r>
            <w:r w:rsidRPr="001A582D">
              <w:rPr>
                <w:rFonts w:ascii="Times New Roman" w:hAnsi="Times New Roman" w:cs="Times New Roman"/>
                <w:noProof/>
                <w:webHidden/>
              </w:rPr>
              <w:fldChar w:fldCharType="end"/>
            </w:r>
          </w:hyperlink>
        </w:p>
        <w:p w14:paraId="03D40DDD" w14:textId="5D655D4F"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41" w:history="1">
            <w:r w:rsidRPr="001A582D">
              <w:rPr>
                <w:rStyle w:val="Hipervnculo"/>
                <w:rFonts w:ascii="Times New Roman" w:hAnsi="Times New Roman" w:cs="Times New Roman"/>
                <w:noProof/>
              </w:rPr>
              <w:t>4.2. Vertientes legales del conflicto</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_Toc189565341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26</w:t>
            </w:r>
            <w:r w:rsidRPr="001A582D">
              <w:rPr>
                <w:rFonts w:ascii="Times New Roman" w:hAnsi="Times New Roman" w:cs="Times New Roman"/>
                <w:noProof/>
                <w:webHidden/>
              </w:rPr>
              <w:fldChar w:fldCharType="end"/>
            </w:r>
          </w:hyperlink>
        </w:p>
        <w:p w14:paraId="792487C3" w14:textId="382B507E" w:rsidR="001A582D" w:rsidRPr="001A582D" w:rsidRDefault="001A582D">
          <w:pPr>
            <w:pStyle w:val="TDC2"/>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42" w:history="1">
            <w:r w:rsidRPr="001A582D">
              <w:rPr>
                <w:rStyle w:val="Hipervnculo"/>
                <w:rFonts w:ascii="Times New Roman" w:hAnsi="Times New Roman" w:cs="Times New Roman"/>
                <w:noProof/>
              </w:rPr>
              <w:t>4.3. Desarrollo de estrategias en la Oferta Pública de Acciones.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_Toc189565342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27</w:t>
            </w:r>
            <w:r w:rsidRPr="001A582D">
              <w:rPr>
                <w:rFonts w:ascii="Times New Roman" w:hAnsi="Times New Roman" w:cs="Times New Roman"/>
                <w:noProof/>
                <w:webHidden/>
              </w:rPr>
              <w:fldChar w:fldCharType="end"/>
            </w:r>
          </w:hyperlink>
        </w:p>
        <w:p w14:paraId="097931B0" w14:textId="07E75C6B" w:rsidR="001A582D" w:rsidRPr="001A582D" w:rsidRDefault="001A582D">
          <w:pPr>
            <w:pStyle w:val="TDC1"/>
            <w:tabs>
              <w:tab w:val="left" w:pos="480"/>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43" w:history="1">
            <w:r w:rsidRPr="001A582D">
              <w:rPr>
                <w:rStyle w:val="Hipervnculo"/>
                <w:rFonts w:ascii="Times New Roman" w:hAnsi="Times New Roman" w:cs="Times New Roman"/>
                <w:noProof/>
              </w:rPr>
              <w:t>5.</w:t>
            </w:r>
            <w:r w:rsidRPr="001A582D">
              <w:rPr>
                <w:rFonts w:ascii="Times New Roman" w:eastAsiaTheme="minorEastAsia" w:hAnsi="Times New Roman" w:cs="Times New Roman"/>
                <w:noProof/>
                <w:kern w:val="2"/>
                <w:sz w:val="24"/>
                <w:szCs w:val="24"/>
                <w:lang w:val="es-CO"/>
                <w14:ligatures w14:val="standardContextual"/>
              </w:rPr>
              <w:tab/>
            </w:r>
            <w:r w:rsidRPr="001A582D">
              <w:rPr>
                <w:rStyle w:val="Hipervnculo"/>
                <w:rFonts w:ascii="Times New Roman" w:hAnsi="Times New Roman" w:cs="Times New Roman"/>
                <w:noProof/>
              </w:rPr>
              <w:t>Discusión y Conclusiones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_Toc189565343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29</w:t>
            </w:r>
            <w:r w:rsidRPr="001A582D">
              <w:rPr>
                <w:rFonts w:ascii="Times New Roman" w:hAnsi="Times New Roman" w:cs="Times New Roman"/>
                <w:noProof/>
                <w:webHidden/>
              </w:rPr>
              <w:fldChar w:fldCharType="end"/>
            </w:r>
          </w:hyperlink>
        </w:p>
        <w:p w14:paraId="0973EB82" w14:textId="6EF06D70" w:rsidR="001A582D" w:rsidRPr="001A582D" w:rsidRDefault="001A582D">
          <w:pPr>
            <w:pStyle w:val="TDC1"/>
            <w:tabs>
              <w:tab w:val="left" w:pos="480"/>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44" w:history="1">
            <w:r w:rsidRPr="001A582D">
              <w:rPr>
                <w:rStyle w:val="Hipervnculo"/>
                <w:rFonts w:ascii="Times New Roman" w:hAnsi="Times New Roman" w:cs="Times New Roman"/>
                <w:noProof/>
              </w:rPr>
              <w:t>6.</w:t>
            </w:r>
            <w:r w:rsidRPr="001A582D">
              <w:rPr>
                <w:rFonts w:ascii="Times New Roman" w:eastAsiaTheme="minorEastAsia" w:hAnsi="Times New Roman" w:cs="Times New Roman"/>
                <w:noProof/>
                <w:kern w:val="2"/>
                <w:sz w:val="24"/>
                <w:szCs w:val="24"/>
                <w:lang w:val="es-CO"/>
                <w14:ligatures w14:val="standardContextual"/>
              </w:rPr>
              <w:tab/>
            </w:r>
            <w:r w:rsidRPr="001A582D">
              <w:rPr>
                <w:rStyle w:val="Hipervnculo"/>
                <w:rFonts w:ascii="Times New Roman" w:hAnsi="Times New Roman" w:cs="Times New Roman"/>
                <w:noProof/>
              </w:rPr>
              <w:t>Referencias Bibliográficas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_Toc189565344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31</w:t>
            </w:r>
            <w:r w:rsidRPr="001A582D">
              <w:rPr>
                <w:rFonts w:ascii="Times New Roman" w:hAnsi="Times New Roman" w:cs="Times New Roman"/>
                <w:noProof/>
                <w:webHidden/>
              </w:rPr>
              <w:fldChar w:fldCharType="end"/>
            </w:r>
          </w:hyperlink>
        </w:p>
        <w:p w14:paraId="7AE17C64" w14:textId="3F1E810A" w:rsidR="001A582D" w:rsidRDefault="001A582D">
          <w:pPr>
            <w:rPr>
              <w:rFonts w:ascii="Times New Roman" w:hAnsi="Times New Roman" w:cs="Times New Roman"/>
              <w:b/>
              <w:bCs/>
              <w:sz w:val="24"/>
              <w:szCs w:val="24"/>
              <w:lang w:val="es-ES"/>
            </w:rPr>
          </w:pPr>
          <w:r w:rsidRPr="001A582D">
            <w:rPr>
              <w:rFonts w:ascii="Times New Roman" w:hAnsi="Times New Roman" w:cs="Times New Roman"/>
              <w:b/>
              <w:bCs/>
              <w:sz w:val="24"/>
              <w:szCs w:val="24"/>
              <w:lang w:val="es-ES"/>
            </w:rPr>
            <w:fldChar w:fldCharType="end"/>
          </w:r>
        </w:p>
        <w:p w14:paraId="114D521F" w14:textId="77777777" w:rsidR="001A582D" w:rsidRDefault="001A582D">
          <w:pPr>
            <w:rPr>
              <w:rFonts w:ascii="Times New Roman" w:hAnsi="Times New Roman" w:cs="Times New Roman"/>
              <w:b/>
              <w:bCs/>
              <w:sz w:val="24"/>
              <w:szCs w:val="24"/>
              <w:lang w:val="es-ES"/>
            </w:rPr>
          </w:pPr>
          <w:r>
            <w:rPr>
              <w:rFonts w:ascii="Times New Roman" w:hAnsi="Times New Roman" w:cs="Times New Roman"/>
              <w:b/>
              <w:bCs/>
              <w:sz w:val="24"/>
              <w:szCs w:val="24"/>
              <w:lang w:val="es-ES"/>
            </w:rPr>
            <w:br w:type="page"/>
          </w:r>
        </w:p>
        <w:p w14:paraId="0B7FFE2C" w14:textId="77777777" w:rsidR="001A582D" w:rsidRDefault="001A582D" w:rsidP="001A582D">
          <w:pPr>
            <w:jc w:val="center"/>
            <w:rPr>
              <w:rFonts w:ascii="Times New Roman" w:hAnsi="Times New Roman" w:cs="Times New Roman"/>
              <w:b/>
              <w:bCs/>
              <w:sz w:val="24"/>
              <w:szCs w:val="24"/>
            </w:rPr>
          </w:pPr>
        </w:p>
        <w:p w14:paraId="263AE23F" w14:textId="7D35941C" w:rsidR="001A582D" w:rsidRDefault="001A582D" w:rsidP="001A582D">
          <w:pPr>
            <w:jc w:val="center"/>
            <w:rPr>
              <w:rFonts w:ascii="Times New Roman" w:hAnsi="Times New Roman" w:cs="Times New Roman"/>
              <w:b/>
              <w:bCs/>
              <w:sz w:val="24"/>
              <w:szCs w:val="24"/>
            </w:rPr>
          </w:pPr>
          <w:r w:rsidRPr="001A582D">
            <w:rPr>
              <w:rFonts w:ascii="Times New Roman" w:hAnsi="Times New Roman" w:cs="Times New Roman"/>
              <w:b/>
              <w:bCs/>
              <w:sz w:val="24"/>
              <w:szCs w:val="24"/>
            </w:rPr>
            <w:t>Lista de Tablas</w:t>
          </w:r>
        </w:p>
        <w:p w14:paraId="6D8D35C7" w14:textId="15C0F31A" w:rsidR="001A582D" w:rsidRPr="001A582D" w:rsidRDefault="001A582D" w:rsidP="001A582D">
          <w:pPr>
            <w:jc w:val="center"/>
            <w:rPr>
              <w:rFonts w:ascii="Times New Roman" w:hAnsi="Times New Roman" w:cs="Times New Roman"/>
              <w:b/>
              <w:bCs/>
              <w:sz w:val="24"/>
              <w:szCs w:val="24"/>
            </w:rPr>
          </w:pPr>
        </w:p>
      </w:sdtContent>
    </w:sdt>
    <w:p w14:paraId="00C2EEF4" w14:textId="4DBDEFAF" w:rsidR="001A582D" w:rsidRPr="001A582D" w:rsidRDefault="001A582D">
      <w:pPr>
        <w:pStyle w:val="Tabladeilustraciones"/>
        <w:tabs>
          <w:tab w:val="right" w:leader="dot" w:pos="9019"/>
        </w:tabs>
        <w:rPr>
          <w:rFonts w:ascii="Times New Roman" w:eastAsiaTheme="minorEastAsia" w:hAnsi="Times New Roman" w:cs="Times New Roman"/>
          <w:noProof/>
          <w:kern w:val="2"/>
          <w:sz w:val="24"/>
          <w:szCs w:val="24"/>
          <w:lang w:val="es-CO"/>
          <w14:ligatures w14:val="standardContextual"/>
        </w:rPr>
      </w:pPr>
      <w:r w:rsidRPr="001A582D">
        <w:rPr>
          <w:rFonts w:ascii="Times New Roman" w:hAnsi="Times New Roman" w:cs="Times New Roman"/>
        </w:rPr>
        <w:fldChar w:fldCharType="begin"/>
      </w:r>
      <w:r w:rsidRPr="001A582D">
        <w:rPr>
          <w:rFonts w:ascii="Times New Roman" w:hAnsi="Times New Roman" w:cs="Times New Roman"/>
        </w:rPr>
        <w:instrText xml:space="preserve"> TOC \h \z \c "Tabla" </w:instrText>
      </w:r>
      <w:r w:rsidRPr="001A582D">
        <w:rPr>
          <w:rFonts w:ascii="Times New Roman" w:hAnsi="Times New Roman" w:cs="Times New Roman"/>
        </w:rPr>
        <w:fldChar w:fldCharType="separate"/>
      </w:r>
      <w:hyperlink w:anchor="_Toc189565322" w:history="1">
        <w:r w:rsidRPr="001A582D">
          <w:rPr>
            <w:rStyle w:val="Hipervnculo"/>
            <w:rFonts w:ascii="Times New Roman" w:hAnsi="Times New Roman" w:cs="Times New Roman"/>
            <w:noProof/>
          </w:rPr>
          <w:t>Tabla 1 Resumen de OPAs emitidas por Nutresa S.A.</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_Toc189565322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24</w:t>
        </w:r>
        <w:r w:rsidRPr="001A582D">
          <w:rPr>
            <w:rFonts w:ascii="Times New Roman" w:hAnsi="Times New Roman" w:cs="Times New Roman"/>
            <w:noProof/>
            <w:webHidden/>
          </w:rPr>
          <w:fldChar w:fldCharType="end"/>
        </w:r>
      </w:hyperlink>
    </w:p>
    <w:p w14:paraId="5155A4B0" w14:textId="2FE5D079" w:rsidR="001A582D" w:rsidRPr="001A582D" w:rsidRDefault="001A582D">
      <w:pPr>
        <w:pStyle w:val="Tabladeilustraciones"/>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23" w:history="1">
        <w:r w:rsidRPr="001A582D">
          <w:rPr>
            <w:rStyle w:val="Hipervnculo"/>
            <w:rFonts w:ascii="Times New Roman" w:hAnsi="Times New Roman" w:cs="Times New Roman"/>
            <w:noProof/>
          </w:rPr>
          <w:t>Tabla 2 Acciones de Nutresa S.A</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_Toc189565323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25</w:t>
        </w:r>
        <w:r w:rsidRPr="001A582D">
          <w:rPr>
            <w:rFonts w:ascii="Times New Roman" w:hAnsi="Times New Roman" w:cs="Times New Roman"/>
            <w:noProof/>
            <w:webHidden/>
          </w:rPr>
          <w:fldChar w:fldCharType="end"/>
        </w:r>
      </w:hyperlink>
    </w:p>
    <w:p w14:paraId="5D9BC78F" w14:textId="07D3F0C9" w:rsidR="001A582D" w:rsidRPr="001A582D" w:rsidRDefault="001A582D">
      <w:pPr>
        <w:pStyle w:val="Tabladeilustraciones"/>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24" w:history="1">
        <w:r w:rsidRPr="001A582D">
          <w:rPr>
            <w:rStyle w:val="Hipervnculo"/>
            <w:rFonts w:ascii="Times New Roman" w:hAnsi="Times New Roman" w:cs="Times New Roman"/>
            <w:noProof/>
          </w:rPr>
          <w:t>Tabla 3 Participación de Nutresa S.A en el Sector de Alimentos</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_Toc189565324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25</w:t>
        </w:r>
        <w:r w:rsidRPr="001A582D">
          <w:rPr>
            <w:rFonts w:ascii="Times New Roman" w:hAnsi="Times New Roman" w:cs="Times New Roman"/>
            <w:noProof/>
            <w:webHidden/>
          </w:rPr>
          <w:fldChar w:fldCharType="end"/>
        </w:r>
      </w:hyperlink>
    </w:p>
    <w:p w14:paraId="79938D18" w14:textId="3C43932A" w:rsidR="001A582D" w:rsidRDefault="001A582D" w:rsidP="001A582D">
      <w:pPr>
        <w:pStyle w:val="Ttulo1"/>
        <w:spacing w:line="480" w:lineRule="auto"/>
      </w:pPr>
      <w:r w:rsidRPr="001A582D">
        <w:rPr>
          <w:rFonts w:cs="Times New Roman"/>
        </w:rPr>
        <w:fldChar w:fldCharType="end"/>
      </w:r>
    </w:p>
    <w:p w14:paraId="0CE94E92" w14:textId="6925E298" w:rsidR="001A582D" w:rsidRDefault="001A582D">
      <w:r>
        <w:br w:type="page"/>
      </w:r>
    </w:p>
    <w:p w14:paraId="34D8AC76" w14:textId="77777777" w:rsidR="001A582D" w:rsidRDefault="001A582D" w:rsidP="001A582D">
      <w:pPr>
        <w:jc w:val="center"/>
        <w:rPr>
          <w:rFonts w:ascii="Times New Roman" w:hAnsi="Times New Roman" w:cs="Times New Roman"/>
          <w:b/>
          <w:bCs/>
          <w:sz w:val="24"/>
          <w:szCs w:val="24"/>
        </w:rPr>
      </w:pPr>
    </w:p>
    <w:p w14:paraId="6A5C7AE0" w14:textId="45C86BB4" w:rsidR="001A582D" w:rsidRDefault="001A582D" w:rsidP="001A582D">
      <w:pPr>
        <w:jc w:val="center"/>
        <w:rPr>
          <w:rFonts w:ascii="Times New Roman" w:hAnsi="Times New Roman" w:cs="Times New Roman"/>
          <w:b/>
          <w:bCs/>
          <w:sz w:val="24"/>
          <w:szCs w:val="24"/>
        </w:rPr>
      </w:pPr>
      <w:r w:rsidRPr="001A582D">
        <w:rPr>
          <w:rFonts w:ascii="Times New Roman" w:hAnsi="Times New Roman" w:cs="Times New Roman"/>
          <w:b/>
          <w:bCs/>
          <w:sz w:val="24"/>
          <w:szCs w:val="24"/>
        </w:rPr>
        <w:t>Lista de Ilustraciones</w:t>
      </w:r>
    </w:p>
    <w:p w14:paraId="2E67AE4F" w14:textId="77777777" w:rsidR="001A582D" w:rsidRDefault="001A582D" w:rsidP="001A582D">
      <w:pPr>
        <w:jc w:val="center"/>
        <w:rPr>
          <w:rFonts w:ascii="Times New Roman" w:hAnsi="Times New Roman" w:cs="Times New Roman"/>
          <w:b/>
          <w:bCs/>
          <w:sz w:val="24"/>
          <w:szCs w:val="24"/>
        </w:rPr>
      </w:pPr>
    </w:p>
    <w:p w14:paraId="06566F0C" w14:textId="59A6AF57" w:rsidR="001A582D" w:rsidRPr="001A582D" w:rsidRDefault="001A582D">
      <w:pPr>
        <w:pStyle w:val="Tabladeilustraciones"/>
        <w:tabs>
          <w:tab w:val="right" w:leader="dot" w:pos="9019"/>
        </w:tabs>
        <w:rPr>
          <w:rFonts w:ascii="Times New Roman" w:eastAsiaTheme="minorEastAsia" w:hAnsi="Times New Roman" w:cs="Times New Roman"/>
          <w:noProof/>
          <w:kern w:val="2"/>
          <w:sz w:val="24"/>
          <w:szCs w:val="24"/>
          <w:lang w:val="es-CO"/>
          <w14:ligatures w14:val="standardContextual"/>
        </w:rPr>
      </w:pPr>
      <w:r w:rsidRPr="001A582D">
        <w:rPr>
          <w:rFonts w:ascii="Times New Roman" w:hAnsi="Times New Roman" w:cs="Times New Roman"/>
          <w:b/>
          <w:bCs/>
          <w:sz w:val="24"/>
          <w:szCs w:val="24"/>
        </w:rPr>
        <w:fldChar w:fldCharType="begin"/>
      </w:r>
      <w:r w:rsidRPr="001A582D">
        <w:rPr>
          <w:rFonts w:ascii="Times New Roman" w:hAnsi="Times New Roman" w:cs="Times New Roman"/>
          <w:b/>
          <w:bCs/>
          <w:sz w:val="24"/>
          <w:szCs w:val="24"/>
        </w:rPr>
        <w:instrText xml:space="preserve"> TOC \h \z \c "Ilustración" </w:instrText>
      </w:r>
      <w:r w:rsidRPr="001A582D">
        <w:rPr>
          <w:rFonts w:ascii="Times New Roman" w:hAnsi="Times New Roman" w:cs="Times New Roman"/>
          <w:b/>
          <w:bCs/>
          <w:sz w:val="24"/>
          <w:szCs w:val="24"/>
        </w:rPr>
        <w:fldChar w:fldCharType="separate"/>
      </w:r>
      <w:hyperlink w:anchor="_Toc189565316" w:history="1">
        <w:r w:rsidRPr="001A582D">
          <w:rPr>
            <w:rStyle w:val="Hipervnculo"/>
            <w:rFonts w:ascii="Times New Roman" w:hAnsi="Times New Roman" w:cs="Times New Roman"/>
            <w:noProof/>
          </w:rPr>
          <w:t>Ilustración 1Composición accionaria Nutresa S.A.</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_Toc189565316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20</w:t>
        </w:r>
        <w:r w:rsidRPr="001A582D">
          <w:rPr>
            <w:rFonts w:ascii="Times New Roman" w:hAnsi="Times New Roman" w:cs="Times New Roman"/>
            <w:noProof/>
            <w:webHidden/>
          </w:rPr>
          <w:fldChar w:fldCharType="end"/>
        </w:r>
      </w:hyperlink>
    </w:p>
    <w:p w14:paraId="3CEEE08C" w14:textId="1CEF0B4F" w:rsidR="001A582D" w:rsidRPr="001A582D" w:rsidRDefault="001A582D">
      <w:pPr>
        <w:pStyle w:val="Tabladeilustraciones"/>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17" w:history="1">
        <w:r w:rsidRPr="001A582D">
          <w:rPr>
            <w:rStyle w:val="Hipervnculo"/>
            <w:rFonts w:ascii="Times New Roman" w:hAnsi="Times New Roman" w:cs="Times New Roman"/>
            <w:noProof/>
          </w:rPr>
          <w:t>Ilustración 2 Composición accionaria GRUPO SURA</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_Toc189565317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21</w:t>
        </w:r>
        <w:r w:rsidRPr="001A582D">
          <w:rPr>
            <w:rFonts w:ascii="Times New Roman" w:hAnsi="Times New Roman" w:cs="Times New Roman"/>
            <w:noProof/>
            <w:webHidden/>
          </w:rPr>
          <w:fldChar w:fldCharType="end"/>
        </w:r>
      </w:hyperlink>
    </w:p>
    <w:p w14:paraId="332935C0" w14:textId="147605C8" w:rsidR="001A582D" w:rsidRPr="001A582D" w:rsidRDefault="001A582D">
      <w:pPr>
        <w:pStyle w:val="Tabladeilustraciones"/>
        <w:tabs>
          <w:tab w:val="right" w:leader="dot" w:pos="9019"/>
        </w:tabs>
        <w:rPr>
          <w:rFonts w:ascii="Times New Roman" w:eastAsiaTheme="minorEastAsia" w:hAnsi="Times New Roman" w:cs="Times New Roman"/>
          <w:noProof/>
          <w:kern w:val="2"/>
          <w:sz w:val="24"/>
          <w:szCs w:val="24"/>
          <w:lang w:val="es-CO"/>
          <w14:ligatures w14:val="standardContextual"/>
        </w:rPr>
      </w:pPr>
      <w:hyperlink w:anchor="_Toc189565318" w:history="1">
        <w:r w:rsidRPr="001A582D">
          <w:rPr>
            <w:rStyle w:val="Hipervnculo"/>
            <w:rFonts w:ascii="Times New Roman" w:hAnsi="Times New Roman" w:cs="Times New Roman"/>
            <w:noProof/>
          </w:rPr>
          <w:t>Ilustración 3 Composición accionaria en la escisión de Nutresa S.A</w:t>
        </w:r>
        <w:r w:rsidRPr="001A582D">
          <w:rPr>
            <w:rFonts w:ascii="Times New Roman" w:hAnsi="Times New Roman" w:cs="Times New Roman"/>
            <w:noProof/>
            <w:webHidden/>
          </w:rPr>
          <w:tab/>
        </w:r>
        <w:r w:rsidRPr="001A582D">
          <w:rPr>
            <w:rFonts w:ascii="Times New Roman" w:hAnsi="Times New Roman" w:cs="Times New Roman"/>
            <w:noProof/>
            <w:webHidden/>
          </w:rPr>
          <w:fldChar w:fldCharType="begin"/>
        </w:r>
        <w:r w:rsidRPr="001A582D">
          <w:rPr>
            <w:rFonts w:ascii="Times New Roman" w:hAnsi="Times New Roman" w:cs="Times New Roman"/>
            <w:noProof/>
            <w:webHidden/>
          </w:rPr>
          <w:instrText xml:space="preserve"> PAGEREF _Toc189565318 \h </w:instrText>
        </w:r>
        <w:r w:rsidRPr="001A582D">
          <w:rPr>
            <w:rFonts w:ascii="Times New Roman" w:hAnsi="Times New Roman" w:cs="Times New Roman"/>
            <w:noProof/>
            <w:webHidden/>
          </w:rPr>
        </w:r>
        <w:r w:rsidRPr="001A582D">
          <w:rPr>
            <w:rFonts w:ascii="Times New Roman" w:hAnsi="Times New Roman" w:cs="Times New Roman"/>
            <w:noProof/>
            <w:webHidden/>
          </w:rPr>
          <w:fldChar w:fldCharType="separate"/>
        </w:r>
        <w:r w:rsidRPr="001A582D">
          <w:rPr>
            <w:rFonts w:ascii="Times New Roman" w:hAnsi="Times New Roman" w:cs="Times New Roman"/>
            <w:noProof/>
            <w:webHidden/>
          </w:rPr>
          <w:t>21</w:t>
        </w:r>
        <w:r w:rsidRPr="001A582D">
          <w:rPr>
            <w:rFonts w:ascii="Times New Roman" w:hAnsi="Times New Roman" w:cs="Times New Roman"/>
            <w:noProof/>
            <w:webHidden/>
          </w:rPr>
          <w:fldChar w:fldCharType="end"/>
        </w:r>
      </w:hyperlink>
    </w:p>
    <w:p w14:paraId="7B52F827" w14:textId="4EFFC6E3" w:rsidR="001A582D" w:rsidRDefault="001A582D" w:rsidP="001A582D">
      <w:pPr>
        <w:spacing w:line="480" w:lineRule="auto"/>
        <w:rPr>
          <w:rFonts w:ascii="Times New Roman" w:hAnsi="Times New Roman"/>
          <w:b/>
          <w:sz w:val="24"/>
          <w:szCs w:val="40"/>
        </w:rPr>
      </w:pPr>
      <w:r w:rsidRPr="001A582D">
        <w:rPr>
          <w:rFonts w:ascii="Times New Roman" w:hAnsi="Times New Roman" w:cs="Times New Roman"/>
          <w:sz w:val="24"/>
          <w:szCs w:val="24"/>
        </w:rPr>
        <w:fldChar w:fldCharType="end"/>
      </w:r>
    </w:p>
    <w:p w14:paraId="3C2817CD" w14:textId="77777777" w:rsidR="001A582D" w:rsidRDefault="001A582D">
      <w:pPr>
        <w:rPr>
          <w:rFonts w:ascii="Times New Roman" w:hAnsi="Times New Roman"/>
          <w:b/>
          <w:sz w:val="24"/>
          <w:szCs w:val="40"/>
        </w:rPr>
      </w:pPr>
      <w:r>
        <w:br w:type="page"/>
      </w:r>
    </w:p>
    <w:p w14:paraId="4504B21C" w14:textId="3F33AAB1" w:rsidR="006B1C7A" w:rsidRDefault="00000000" w:rsidP="00BA0FB0">
      <w:pPr>
        <w:pStyle w:val="Ttulo1"/>
        <w:rPr>
          <w:b w:val="0"/>
        </w:rPr>
      </w:pPr>
      <w:bookmarkStart w:id="14" w:name="_Toc189565327"/>
      <w:r>
        <w:lastRenderedPageBreak/>
        <w:t>Resumen</w:t>
      </w:r>
      <w:bookmarkEnd w:id="14"/>
    </w:p>
    <w:p w14:paraId="6031B436"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año 2022 la dinámica accionaria y financiera en el país se ve sacudida por un conjunto de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del Grupo Gilinski sobre Nutresa S.A., generando un impacto significativo en la dinámica empresarial del país. Este estudio se centra en establecer los elementos económicos, legales y estratégicos que caracterizan estas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y su impacto en el Grupo Empresarial Antioqueño. A través de una metodología cualitativa, se llevó a cabo un estudio de caso utilizando como instrumento fichas de revisión que permitiera la recolección de información contenida en medios de comunicación y literatura académica, permitiendo identificar las motivaciones detrás de estas transacciones y su interrelación con el contexto del mercado colombiano. Los hallazgos revelan que la reestructuración accionaria en el Grupo Empresarial Antioqueño, a través de la OPA sobre Nutresa, impactó negativamente a otras empresas que conforman el Grupo Empresarial Antioqueño. Las estrategias de los Gilinski revelan la interconexión y fragilidad en las relaciones interempresariales, subrayando la necesidad de una regulación independiente que proteja los intereses de todos los accionistas.</w:t>
      </w:r>
    </w:p>
    <w:p w14:paraId="6DDB65DD" w14:textId="77777777" w:rsidR="006B1C7A" w:rsidRDefault="00000000">
      <w:pPr>
        <w:spacing w:after="160" w:line="360"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Palabras claves: </w:t>
      </w:r>
      <w:r>
        <w:rPr>
          <w:rFonts w:ascii="Times New Roman" w:eastAsia="Times New Roman" w:hAnsi="Times New Roman" w:cs="Times New Roman"/>
          <w:sz w:val="24"/>
          <w:szCs w:val="24"/>
        </w:rPr>
        <w:t>Grupos económicos, Control, Oferta Pública de Acciones,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Estrategia, Compras Agresivas de Acciones. </w:t>
      </w:r>
    </w:p>
    <w:p w14:paraId="546FC2BF" w14:textId="77777777" w:rsidR="001A582D" w:rsidRDefault="001A582D">
      <w:pPr>
        <w:rPr>
          <w:rFonts w:ascii="Times New Roman" w:hAnsi="Times New Roman"/>
          <w:b/>
          <w:sz w:val="24"/>
          <w:szCs w:val="40"/>
        </w:rPr>
      </w:pPr>
      <w:r>
        <w:br w:type="page"/>
      </w:r>
    </w:p>
    <w:p w14:paraId="14DFBEDB" w14:textId="4846852C" w:rsidR="006B1C7A" w:rsidRDefault="00BA0FB0" w:rsidP="00BA0FB0">
      <w:pPr>
        <w:pStyle w:val="Ttulo1"/>
      </w:pPr>
      <w:bookmarkStart w:id="15" w:name="_Toc189565328"/>
      <w:proofErr w:type="spellStart"/>
      <w:r>
        <w:lastRenderedPageBreak/>
        <w:t>Abstract</w:t>
      </w:r>
      <w:bookmarkEnd w:id="15"/>
      <w:proofErr w:type="spellEnd"/>
    </w:p>
    <w:p w14:paraId="3090E1A7" w14:textId="77777777" w:rsidR="001A582D" w:rsidRDefault="00BA0FB0" w:rsidP="00BA0FB0">
      <w:pPr>
        <w:spacing w:before="240" w:after="240" w:line="360" w:lineRule="auto"/>
        <w:ind w:firstLine="720"/>
        <w:rPr>
          <w:rFonts w:ascii="Times New Roman" w:eastAsia="Times New Roman" w:hAnsi="Times New Roman" w:cs="Times New Roman"/>
          <w:sz w:val="24"/>
          <w:szCs w:val="24"/>
        </w:rPr>
      </w:pPr>
      <w:r w:rsidRPr="00BA0FB0">
        <w:rPr>
          <w:rFonts w:ascii="Times New Roman" w:eastAsia="Times New Roman" w:hAnsi="Times New Roman" w:cs="Times New Roman"/>
          <w:sz w:val="24"/>
          <w:szCs w:val="24"/>
        </w:rPr>
        <w:t xml:space="preserve">In 2022,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stock and </w:t>
      </w:r>
      <w:proofErr w:type="spellStart"/>
      <w:r w:rsidRPr="00BA0FB0">
        <w:rPr>
          <w:rFonts w:ascii="Times New Roman" w:eastAsia="Times New Roman" w:hAnsi="Times New Roman" w:cs="Times New Roman"/>
          <w:sz w:val="24"/>
          <w:szCs w:val="24"/>
        </w:rPr>
        <w:t>financial</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dynamics</w:t>
      </w:r>
      <w:proofErr w:type="spellEnd"/>
      <w:r w:rsidRPr="00BA0FB0">
        <w:rPr>
          <w:rFonts w:ascii="Times New Roman" w:eastAsia="Times New Roman" w:hAnsi="Times New Roman" w:cs="Times New Roman"/>
          <w:sz w:val="24"/>
          <w:szCs w:val="24"/>
        </w:rPr>
        <w:t xml:space="preserve"> in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country </w:t>
      </w:r>
      <w:proofErr w:type="spellStart"/>
      <w:r w:rsidRPr="00BA0FB0">
        <w:rPr>
          <w:rFonts w:ascii="Times New Roman" w:eastAsia="Times New Roman" w:hAnsi="Times New Roman" w:cs="Times New Roman"/>
          <w:sz w:val="24"/>
          <w:szCs w:val="24"/>
        </w:rPr>
        <w:t>were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shaken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by</w:t>
      </w:r>
      <w:proofErr w:type="spellEnd"/>
      <w:r w:rsidRPr="00BA0FB0">
        <w:rPr>
          <w:rFonts w:ascii="Times New Roman" w:eastAsia="Times New Roman" w:hAnsi="Times New Roman" w:cs="Times New Roman"/>
          <w:sz w:val="24"/>
          <w:szCs w:val="24"/>
        </w:rPr>
        <w:t xml:space="preserve"> a series </w:t>
      </w:r>
      <w:proofErr w:type="spellStart"/>
      <w:r w:rsidRPr="00BA0FB0">
        <w:rPr>
          <w:rFonts w:ascii="Times New Roman" w:eastAsia="Times New Roman" w:hAnsi="Times New Roman" w:cs="Times New Roman"/>
          <w:sz w:val="24"/>
          <w:szCs w:val="24"/>
        </w:rPr>
        <w:t>of</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takeover</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bids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OPAs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by</w:t>
      </w:r>
      <w:proofErr w:type="spellEnd"/>
      <w:r w:rsidRPr="00BA0F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El Grupo Gilinski </w:t>
      </w:r>
      <w:proofErr w:type="spellStart"/>
      <w:r w:rsidRPr="00BA0FB0">
        <w:rPr>
          <w:rFonts w:ascii="Times New Roman" w:eastAsia="Times New Roman" w:hAnsi="Times New Roman" w:cs="Times New Roman"/>
          <w:sz w:val="24"/>
          <w:szCs w:val="24"/>
        </w:rPr>
        <w:t>on</w:t>
      </w:r>
      <w:proofErr w:type="spellEnd"/>
      <w:r w:rsidRPr="00BA0FB0">
        <w:rPr>
          <w:rFonts w:ascii="Times New Roman" w:eastAsia="Times New Roman" w:hAnsi="Times New Roman" w:cs="Times New Roman"/>
          <w:sz w:val="24"/>
          <w:szCs w:val="24"/>
        </w:rPr>
        <w:t xml:space="preserve"> Nutresa S.A., </w:t>
      </w:r>
      <w:proofErr w:type="spellStart"/>
      <w:r w:rsidRPr="00BA0FB0">
        <w:rPr>
          <w:rFonts w:ascii="Times New Roman" w:eastAsia="Times New Roman" w:hAnsi="Times New Roman" w:cs="Times New Roman"/>
          <w:sz w:val="24"/>
          <w:szCs w:val="24"/>
        </w:rPr>
        <w:t>generating</w:t>
      </w:r>
      <w:proofErr w:type="spellEnd"/>
      <w:r w:rsidRPr="00BA0FB0">
        <w:rPr>
          <w:rFonts w:ascii="Times New Roman" w:eastAsia="Times New Roman" w:hAnsi="Times New Roman" w:cs="Times New Roman"/>
          <w:sz w:val="24"/>
          <w:szCs w:val="24"/>
        </w:rPr>
        <w:t xml:space="preserve"> a </w:t>
      </w:r>
      <w:proofErr w:type="spellStart"/>
      <w:r w:rsidRPr="00BA0FB0">
        <w:rPr>
          <w:rFonts w:ascii="Times New Roman" w:eastAsia="Times New Roman" w:hAnsi="Times New Roman" w:cs="Times New Roman"/>
          <w:sz w:val="24"/>
          <w:szCs w:val="24"/>
        </w:rPr>
        <w:t>significant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impact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country's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business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landscape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This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study</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focuses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establishing</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economic</w:t>
      </w:r>
      <w:proofErr w:type="spellEnd"/>
      <w:r w:rsidRPr="00BA0FB0">
        <w:rPr>
          <w:rFonts w:ascii="Times New Roman" w:eastAsia="Times New Roman" w:hAnsi="Times New Roman" w:cs="Times New Roman"/>
          <w:sz w:val="24"/>
          <w:szCs w:val="24"/>
        </w:rPr>
        <w:t xml:space="preserve">, legal, and </w:t>
      </w:r>
      <w:proofErr w:type="spellStart"/>
      <w:r w:rsidRPr="00BA0FB0">
        <w:rPr>
          <w:rFonts w:ascii="Times New Roman" w:eastAsia="Times New Roman" w:hAnsi="Times New Roman" w:cs="Times New Roman"/>
          <w:sz w:val="24"/>
          <w:szCs w:val="24"/>
        </w:rPr>
        <w:t>strategic</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elements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that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characterize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these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OPAs</w:t>
      </w:r>
      <w:proofErr w:type="spellEnd"/>
      <w:r w:rsidRPr="00BA0FB0">
        <w:rPr>
          <w:rFonts w:ascii="Times New Roman" w:eastAsia="Times New Roman" w:hAnsi="Times New Roman" w:cs="Times New Roman"/>
          <w:sz w:val="24"/>
          <w:szCs w:val="24"/>
        </w:rPr>
        <w:t xml:space="preserve"> and </w:t>
      </w:r>
      <w:proofErr w:type="spellStart"/>
      <w:r w:rsidRPr="00BA0FB0">
        <w:rPr>
          <w:rFonts w:ascii="Times New Roman" w:eastAsia="Times New Roman" w:hAnsi="Times New Roman" w:cs="Times New Roman"/>
          <w:sz w:val="24"/>
          <w:szCs w:val="24"/>
        </w:rPr>
        <w:t>their</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impact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on</w:t>
      </w:r>
      <w:proofErr w:type="spellEnd"/>
      <w:r w:rsidRPr="00BA0FB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 Grupo Empresarial Antioqueño</w:t>
      </w:r>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Through</w:t>
      </w:r>
      <w:proofErr w:type="spellEnd"/>
      <w:r w:rsidRPr="00BA0FB0">
        <w:rPr>
          <w:rFonts w:ascii="Times New Roman" w:eastAsia="Times New Roman" w:hAnsi="Times New Roman" w:cs="Times New Roman"/>
          <w:sz w:val="24"/>
          <w:szCs w:val="24"/>
        </w:rPr>
        <w:t xml:space="preserve"> a </w:t>
      </w:r>
      <w:proofErr w:type="spellStart"/>
      <w:r w:rsidRPr="00BA0FB0">
        <w:rPr>
          <w:rFonts w:ascii="Times New Roman" w:eastAsia="Times New Roman" w:hAnsi="Times New Roman" w:cs="Times New Roman"/>
          <w:sz w:val="24"/>
          <w:szCs w:val="24"/>
        </w:rPr>
        <w:t>qualitative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methodology</w:t>
      </w:r>
      <w:proofErr w:type="spellEnd"/>
      <w:r w:rsidRPr="00BA0FB0">
        <w:rPr>
          <w:rFonts w:ascii="Times New Roman" w:eastAsia="Times New Roman" w:hAnsi="Times New Roman" w:cs="Times New Roman"/>
          <w:sz w:val="24"/>
          <w:szCs w:val="24"/>
        </w:rPr>
        <w:t xml:space="preserve">, a case </w:t>
      </w:r>
      <w:proofErr w:type="spellStart"/>
      <w:r w:rsidRPr="00BA0FB0">
        <w:rPr>
          <w:rFonts w:ascii="Times New Roman" w:eastAsia="Times New Roman" w:hAnsi="Times New Roman" w:cs="Times New Roman"/>
          <w:sz w:val="24"/>
          <w:szCs w:val="24"/>
        </w:rPr>
        <w:t>study</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was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conducted</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using</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review</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sheets</w:t>
      </w:r>
      <w:proofErr w:type="spellEnd"/>
      <w:r w:rsidRPr="00BA0FB0">
        <w:rPr>
          <w:rFonts w:ascii="Times New Roman" w:eastAsia="Times New Roman" w:hAnsi="Times New Roman" w:cs="Times New Roman"/>
          <w:sz w:val="24"/>
          <w:szCs w:val="24"/>
        </w:rPr>
        <w:t xml:space="preserve"> as a </w:t>
      </w:r>
      <w:proofErr w:type="spellStart"/>
      <w:r w:rsidRPr="00BA0FB0">
        <w:rPr>
          <w:rFonts w:ascii="Times New Roman" w:eastAsia="Times New Roman" w:hAnsi="Times New Roman" w:cs="Times New Roman"/>
          <w:sz w:val="24"/>
          <w:szCs w:val="24"/>
        </w:rPr>
        <w:t>tool</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to</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collect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information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from</w:t>
      </w:r>
      <w:proofErr w:type="spellEnd"/>
      <w:r w:rsidRPr="00BA0FB0">
        <w:rPr>
          <w:rFonts w:ascii="Times New Roman" w:eastAsia="Times New Roman" w:hAnsi="Times New Roman" w:cs="Times New Roman"/>
          <w:sz w:val="24"/>
          <w:szCs w:val="24"/>
        </w:rPr>
        <w:t xml:space="preserve"> media outlets and </w:t>
      </w:r>
      <w:proofErr w:type="spellStart"/>
      <w:r w:rsidRPr="00BA0FB0">
        <w:rPr>
          <w:rFonts w:ascii="Times New Roman" w:eastAsia="Times New Roman" w:hAnsi="Times New Roman" w:cs="Times New Roman"/>
          <w:sz w:val="24"/>
          <w:szCs w:val="24"/>
        </w:rPr>
        <w:t>academic</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literature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enabling</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identification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of</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motivations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behind</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these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transactions</w:t>
      </w:r>
      <w:proofErr w:type="spellEnd"/>
      <w:r w:rsidRPr="00BA0FB0">
        <w:rPr>
          <w:rFonts w:ascii="Times New Roman" w:eastAsia="Times New Roman" w:hAnsi="Times New Roman" w:cs="Times New Roman"/>
          <w:sz w:val="24"/>
          <w:szCs w:val="24"/>
        </w:rPr>
        <w:t xml:space="preserve"> and </w:t>
      </w:r>
      <w:proofErr w:type="spellStart"/>
      <w:r w:rsidRPr="00BA0FB0">
        <w:rPr>
          <w:rFonts w:ascii="Times New Roman" w:eastAsia="Times New Roman" w:hAnsi="Times New Roman" w:cs="Times New Roman"/>
          <w:sz w:val="24"/>
          <w:szCs w:val="24"/>
        </w:rPr>
        <w:t>their</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interrelation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with</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context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of</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Colombian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market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findings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reveal</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that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stock </w:t>
      </w:r>
      <w:proofErr w:type="spellStart"/>
      <w:r w:rsidRPr="00BA0FB0">
        <w:rPr>
          <w:rFonts w:ascii="Times New Roman" w:eastAsia="Times New Roman" w:hAnsi="Times New Roman" w:cs="Times New Roman"/>
          <w:sz w:val="24"/>
          <w:szCs w:val="24"/>
        </w:rPr>
        <w:t>restructuring</w:t>
      </w:r>
      <w:proofErr w:type="spellEnd"/>
      <w:r w:rsidRPr="00BA0FB0">
        <w:rPr>
          <w:rFonts w:ascii="Times New Roman" w:eastAsia="Times New Roman" w:hAnsi="Times New Roman" w:cs="Times New Roman"/>
          <w:sz w:val="24"/>
          <w:szCs w:val="24"/>
        </w:rPr>
        <w:t xml:space="preserve"> in </w:t>
      </w:r>
      <w:r>
        <w:rPr>
          <w:rFonts w:ascii="Times New Roman" w:eastAsia="Times New Roman" w:hAnsi="Times New Roman" w:cs="Times New Roman"/>
          <w:sz w:val="24"/>
          <w:szCs w:val="24"/>
        </w:rPr>
        <w:t>El Grupo Empresarial Antioqueño</w:t>
      </w:r>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through</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OPA </w:t>
      </w:r>
      <w:proofErr w:type="spellStart"/>
      <w:r w:rsidRPr="00BA0FB0">
        <w:rPr>
          <w:rFonts w:ascii="Times New Roman" w:eastAsia="Times New Roman" w:hAnsi="Times New Roman" w:cs="Times New Roman"/>
          <w:sz w:val="24"/>
          <w:szCs w:val="24"/>
        </w:rPr>
        <w:t>on</w:t>
      </w:r>
      <w:proofErr w:type="spellEnd"/>
      <w:r w:rsidRPr="00BA0FB0">
        <w:rPr>
          <w:rFonts w:ascii="Times New Roman" w:eastAsia="Times New Roman" w:hAnsi="Times New Roman" w:cs="Times New Roman"/>
          <w:sz w:val="24"/>
          <w:szCs w:val="24"/>
        </w:rPr>
        <w:t xml:space="preserve"> Nutresa, </w:t>
      </w:r>
      <w:proofErr w:type="spellStart"/>
      <w:r w:rsidRPr="00BA0FB0">
        <w:rPr>
          <w:rFonts w:ascii="Times New Roman" w:eastAsia="Times New Roman" w:hAnsi="Times New Roman" w:cs="Times New Roman"/>
          <w:sz w:val="24"/>
          <w:szCs w:val="24"/>
        </w:rPr>
        <w:t>negatively</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affected</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other</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companies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within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group</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Gilinski </w:t>
      </w:r>
      <w:proofErr w:type="spellStart"/>
      <w:r w:rsidRPr="00BA0FB0">
        <w:rPr>
          <w:rFonts w:ascii="Times New Roman" w:eastAsia="Times New Roman" w:hAnsi="Times New Roman" w:cs="Times New Roman"/>
          <w:sz w:val="24"/>
          <w:szCs w:val="24"/>
        </w:rPr>
        <w:t>strategies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reveal</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interconnectedness</w:t>
      </w:r>
      <w:proofErr w:type="spellEnd"/>
      <w:r w:rsidRPr="00BA0FB0">
        <w:rPr>
          <w:rFonts w:ascii="Times New Roman" w:eastAsia="Times New Roman" w:hAnsi="Times New Roman" w:cs="Times New Roman"/>
          <w:sz w:val="24"/>
          <w:szCs w:val="24"/>
        </w:rPr>
        <w:t xml:space="preserve"> and </w:t>
      </w:r>
      <w:proofErr w:type="spellStart"/>
      <w:r w:rsidRPr="00BA0FB0">
        <w:rPr>
          <w:rFonts w:ascii="Times New Roman" w:eastAsia="Times New Roman" w:hAnsi="Times New Roman" w:cs="Times New Roman"/>
          <w:sz w:val="24"/>
          <w:szCs w:val="24"/>
        </w:rPr>
        <w:t>fragility</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of</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intercorporate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relationships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highlighting</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need</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for</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independent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regulation</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to</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protect</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the</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interests</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of</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all</w:t>
      </w:r>
      <w:proofErr w:type="spellEnd"/>
      <w:r w:rsidRPr="00BA0FB0">
        <w:rPr>
          <w:rFonts w:ascii="Times New Roman" w:eastAsia="Times New Roman" w:hAnsi="Times New Roman" w:cs="Times New Roman"/>
          <w:sz w:val="24"/>
          <w:szCs w:val="24"/>
        </w:rPr>
        <w:t xml:space="preserve"> </w:t>
      </w:r>
      <w:proofErr w:type="spellStart"/>
      <w:r w:rsidRPr="00BA0FB0">
        <w:rPr>
          <w:rFonts w:ascii="Times New Roman" w:eastAsia="Times New Roman" w:hAnsi="Times New Roman" w:cs="Times New Roman"/>
          <w:sz w:val="24"/>
          <w:szCs w:val="24"/>
        </w:rPr>
        <w:t>shareholders</w:t>
      </w:r>
      <w:proofErr w:type="spellEnd"/>
      <w:r w:rsidRPr="00BA0FB0">
        <w:rPr>
          <w:rFonts w:ascii="Times New Roman" w:eastAsia="Times New Roman" w:hAnsi="Times New Roman" w:cs="Times New Roman"/>
          <w:sz w:val="24"/>
          <w:szCs w:val="24"/>
        </w:rPr>
        <w:t>.</w:t>
      </w:r>
    </w:p>
    <w:p w14:paraId="3F737BEE" w14:textId="4D29ADA2" w:rsidR="00BA0FB0" w:rsidRPr="00BA0FB0" w:rsidRDefault="00BA0FB0" w:rsidP="001A582D">
      <w:pPr>
        <w:spacing w:before="240" w:after="240" w:line="360" w:lineRule="auto"/>
        <w:ind w:left="720" w:firstLine="720"/>
        <w:rPr>
          <w:rFonts w:ascii="Times New Roman" w:eastAsia="Times New Roman" w:hAnsi="Times New Roman" w:cs="Times New Roman"/>
          <w:sz w:val="24"/>
          <w:szCs w:val="24"/>
        </w:rPr>
      </w:pPr>
      <w:proofErr w:type="spellStart"/>
      <w:r w:rsidRPr="00BA0FB0">
        <w:rPr>
          <w:rFonts w:ascii="Times New Roman" w:eastAsia="Times New Roman" w:hAnsi="Times New Roman" w:cs="Times New Roman"/>
          <w:b/>
          <w:sz w:val="24"/>
          <w:szCs w:val="24"/>
        </w:rPr>
        <w:t>Keywords</w:t>
      </w:r>
      <w:proofErr w:type="spellEnd"/>
      <w:r w:rsidRPr="00BA0FB0">
        <w:rPr>
          <w:rFonts w:ascii="Times New Roman" w:eastAsia="Times New Roman" w:hAnsi="Times New Roman" w:cs="Times New Roman"/>
          <w:bCs/>
          <w:sz w:val="24"/>
          <w:szCs w:val="24"/>
        </w:rPr>
        <w:t xml:space="preserve">: </w:t>
      </w:r>
      <w:proofErr w:type="spellStart"/>
      <w:r w:rsidRPr="00BA0FB0">
        <w:rPr>
          <w:rFonts w:ascii="Times New Roman" w:eastAsia="Times New Roman" w:hAnsi="Times New Roman" w:cs="Times New Roman"/>
          <w:bCs/>
          <w:sz w:val="24"/>
          <w:szCs w:val="24"/>
        </w:rPr>
        <w:t>Economic</w:t>
      </w:r>
      <w:proofErr w:type="spellEnd"/>
      <w:r w:rsidRPr="00BA0FB0">
        <w:rPr>
          <w:rFonts w:ascii="Times New Roman" w:eastAsia="Times New Roman" w:hAnsi="Times New Roman" w:cs="Times New Roman"/>
          <w:bCs/>
          <w:sz w:val="24"/>
          <w:szCs w:val="24"/>
        </w:rPr>
        <w:t xml:space="preserve"> </w:t>
      </w:r>
      <w:proofErr w:type="spellStart"/>
      <w:r w:rsidRPr="00BA0FB0">
        <w:rPr>
          <w:rFonts w:ascii="Times New Roman" w:eastAsia="Times New Roman" w:hAnsi="Times New Roman" w:cs="Times New Roman"/>
          <w:bCs/>
          <w:sz w:val="24"/>
          <w:szCs w:val="24"/>
        </w:rPr>
        <w:t>Groups</w:t>
      </w:r>
      <w:proofErr w:type="spellEnd"/>
      <w:r w:rsidRPr="00BA0FB0">
        <w:rPr>
          <w:rFonts w:ascii="Times New Roman" w:eastAsia="Times New Roman" w:hAnsi="Times New Roman" w:cs="Times New Roman"/>
          <w:bCs/>
          <w:sz w:val="24"/>
          <w:szCs w:val="24"/>
        </w:rPr>
        <w:t xml:space="preserve">, Control, </w:t>
      </w:r>
      <w:proofErr w:type="spellStart"/>
      <w:r w:rsidRPr="00BA0FB0">
        <w:rPr>
          <w:rFonts w:ascii="Times New Roman" w:eastAsia="Times New Roman" w:hAnsi="Times New Roman" w:cs="Times New Roman"/>
          <w:bCs/>
          <w:sz w:val="24"/>
          <w:szCs w:val="24"/>
        </w:rPr>
        <w:t>Public</w:t>
      </w:r>
      <w:proofErr w:type="spellEnd"/>
      <w:r w:rsidRPr="00BA0FB0">
        <w:rPr>
          <w:rFonts w:ascii="Times New Roman" w:eastAsia="Times New Roman" w:hAnsi="Times New Roman" w:cs="Times New Roman"/>
          <w:bCs/>
          <w:sz w:val="24"/>
          <w:szCs w:val="24"/>
        </w:rPr>
        <w:t xml:space="preserve"> </w:t>
      </w:r>
      <w:proofErr w:type="spellStart"/>
      <w:r w:rsidRPr="00BA0FB0">
        <w:rPr>
          <w:rFonts w:ascii="Times New Roman" w:eastAsia="Times New Roman" w:hAnsi="Times New Roman" w:cs="Times New Roman"/>
          <w:bCs/>
          <w:sz w:val="24"/>
          <w:szCs w:val="24"/>
        </w:rPr>
        <w:t>Offering</w:t>
      </w:r>
      <w:proofErr w:type="spellEnd"/>
      <w:r w:rsidRPr="00BA0FB0">
        <w:rPr>
          <w:rFonts w:ascii="Times New Roman" w:eastAsia="Times New Roman" w:hAnsi="Times New Roman" w:cs="Times New Roman"/>
          <w:bCs/>
          <w:sz w:val="24"/>
          <w:szCs w:val="24"/>
        </w:rPr>
        <w:t xml:space="preserve"> </w:t>
      </w:r>
      <w:proofErr w:type="spellStart"/>
      <w:r w:rsidRPr="00BA0FB0">
        <w:rPr>
          <w:rFonts w:ascii="Times New Roman" w:eastAsia="Times New Roman" w:hAnsi="Times New Roman" w:cs="Times New Roman"/>
          <w:bCs/>
          <w:sz w:val="24"/>
          <w:szCs w:val="24"/>
        </w:rPr>
        <w:t>of</w:t>
      </w:r>
      <w:proofErr w:type="spellEnd"/>
      <w:r w:rsidRPr="00BA0FB0">
        <w:rPr>
          <w:rFonts w:ascii="Times New Roman" w:eastAsia="Times New Roman" w:hAnsi="Times New Roman" w:cs="Times New Roman"/>
          <w:bCs/>
          <w:sz w:val="24"/>
          <w:szCs w:val="24"/>
        </w:rPr>
        <w:t xml:space="preserve"> Shares, </w:t>
      </w:r>
      <w:proofErr w:type="spellStart"/>
      <w:r w:rsidRPr="00BA0FB0">
        <w:rPr>
          <w:rFonts w:ascii="Times New Roman" w:eastAsia="Times New Roman" w:hAnsi="Times New Roman" w:cs="Times New Roman"/>
          <w:bCs/>
          <w:sz w:val="24"/>
          <w:szCs w:val="24"/>
        </w:rPr>
        <w:t>Strategy</w:t>
      </w:r>
      <w:proofErr w:type="spellEnd"/>
      <w:r w:rsidRPr="00BA0FB0">
        <w:rPr>
          <w:rFonts w:ascii="Times New Roman" w:eastAsia="Times New Roman" w:hAnsi="Times New Roman" w:cs="Times New Roman"/>
          <w:bCs/>
          <w:sz w:val="24"/>
          <w:szCs w:val="24"/>
        </w:rPr>
        <w:t>,</w:t>
      </w:r>
      <w:r w:rsidR="001A582D">
        <w:rPr>
          <w:rFonts w:ascii="Times New Roman" w:eastAsia="Times New Roman" w:hAnsi="Times New Roman" w:cs="Times New Roman"/>
          <w:bCs/>
          <w:sz w:val="24"/>
          <w:szCs w:val="24"/>
        </w:rPr>
        <w:t xml:space="preserve"> </w:t>
      </w:r>
      <w:proofErr w:type="spellStart"/>
      <w:r w:rsidRPr="00BA0FB0">
        <w:rPr>
          <w:rFonts w:ascii="Times New Roman" w:eastAsia="Times New Roman" w:hAnsi="Times New Roman" w:cs="Times New Roman"/>
          <w:bCs/>
          <w:sz w:val="24"/>
          <w:szCs w:val="24"/>
        </w:rPr>
        <w:t>Aggressive</w:t>
      </w:r>
      <w:proofErr w:type="spellEnd"/>
      <w:r w:rsidRPr="00BA0FB0">
        <w:rPr>
          <w:rFonts w:ascii="Times New Roman" w:eastAsia="Times New Roman" w:hAnsi="Times New Roman" w:cs="Times New Roman"/>
          <w:bCs/>
          <w:sz w:val="24"/>
          <w:szCs w:val="24"/>
        </w:rPr>
        <w:t xml:space="preserve"> Stock </w:t>
      </w:r>
      <w:proofErr w:type="spellStart"/>
      <w:r w:rsidRPr="00BA0FB0">
        <w:rPr>
          <w:rFonts w:ascii="Times New Roman" w:eastAsia="Times New Roman" w:hAnsi="Times New Roman" w:cs="Times New Roman"/>
          <w:bCs/>
          <w:sz w:val="24"/>
          <w:szCs w:val="24"/>
        </w:rPr>
        <w:t>Purchases</w:t>
      </w:r>
      <w:proofErr w:type="spellEnd"/>
      <w:r w:rsidRPr="00BA0FB0">
        <w:rPr>
          <w:rFonts w:ascii="Times New Roman" w:eastAsia="Times New Roman" w:hAnsi="Times New Roman" w:cs="Times New Roman"/>
          <w:bCs/>
          <w:sz w:val="24"/>
          <w:szCs w:val="24"/>
        </w:rPr>
        <w:t>.</w:t>
      </w:r>
    </w:p>
    <w:p w14:paraId="0C346A98" w14:textId="77777777" w:rsidR="001A582D" w:rsidRDefault="001A582D">
      <w:pPr>
        <w:rPr>
          <w:rFonts w:ascii="Times New Roman" w:hAnsi="Times New Roman"/>
          <w:b/>
          <w:sz w:val="24"/>
          <w:szCs w:val="40"/>
        </w:rPr>
      </w:pPr>
      <w:r>
        <w:br w:type="page"/>
      </w:r>
    </w:p>
    <w:p w14:paraId="66A99CDD" w14:textId="412D9185" w:rsidR="006B1C7A" w:rsidRDefault="00000000" w:rsidP="00BA0FB0">
      <w:pPr>
        <w:pStyle w:val="Ttulo1"/>
      </w:pPr>
      <w:bookmarkStart w:id="16" w:name="_Toc189565329"/>
      <w:r>
        <w:lastRenderedPageBreak/>
        <w:t>Introducción</w:t>
      </w:r>
      <w:bookmarkEnd w:id="16"/>
    </w:p>
    <w:p w14:paraId="13F3CB2A"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reactivación económica a finales de 2021 marcó un punto de inflexión en la dinámica empresarial colombiana, revelando interacciones complejas entre actores del mercado. Un caso notable es el que involucra al Grupo Gilinski y el Grupo Empresarial Antioqueño-en adelante GEA-, especialmente tras la primera Oferta Pública de Acciones (OPA) lanzada el 10 de noviembre de 2021 sobre Nutresa S.A. Esta situación no solo evidenció la dependencia accionaria dentro del conglomerado antioqueño, sino que también expuso la influencia de factores económicos, legales y estratégicos en el comportamiento del mercado.</w:t>
      </w:r>
    </w:p>
    <w:p w14:paraId="0AC5CDEC"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objetivo de este artículo es establecer los elementos económicos, legales y estratégicos que caracterizan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emitidas por el Grupo Gilinski sobre Nutresa S.A, entendiendo la importancia de la misma dentro del GEA, como una de las empresas más significativas dentro del sector de alimentos y con más presencia dentro del mercado colombiano por lo cual al ser una pieza indispensable resulta como foco de investigación y de análisis con respecto a la esencialidad que representa dentro del enroque que se maneja en el GEA.</w:t>
      </w:r>
    </w:p>
    <w:p w14:paraId="61798B08" w14:textId="02F9B69C"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aborda una problemática de investigación relevante, dado que el comportamiento de estas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ha suscitado interrogantes sobre su impacto no solo en el conglomerado antioqueño, sino también en el resto del mercado, considerando la notable participación de Nutresa S.A. en él. Este artículo se centra en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emitidas porque estas dejan en evidencia las principales fortalezas y debilidades del mercado accionario </w:t>
      </w:r>
      <w:proofErr w:type="gramStart"/>
      <w:r>
        <w:rPr>
          <w:rFonts w:ascii="Times New Roman" w:eastAsia="Times New Roman" w:hAnsi="Times New Roman" w:cs="Times New Roman"/>
          <w:sz w:val="24"/>
          <w:szCs w:val="24"/>
        </w:rPr>
        <w:t>Colombiano</w:t>
      </w:r>
      <w:proofErr w:type="gramEnd"/>
      <w:r>
        <w:rPr>
          <w:rFonts w:ascii="Times New Roman" w:eastAsia="Times New Roman" w:hAnsi="Times New Roman" w:cs="Times New Roman"/>
          <w:sz w:val="24"/>
          <w:szCs w:val="24"/>
        </w:rPr>
        <w:t xml:space="preserve">, </w:t>
      </w:r>
      <w:r w:rsidR="00BA0FB0">
        <w:rPr>
          <w:rFonts w:ascii="Times New Roman" w:eastAsia="Times New Roman" w:hAnsi="Times New Roman" w:cs="Times New Roman"/>
          <w:sz w:val="24"/>
          <w:szCs w:val="24"/>
        </w:rPr>
        <w:t>así mismo</w:t>
      </w:r>
      <w:r>
        <w:rPr>
          <w:rFonts w:ascii="Times New Roman" w:eastAsia="Times New Roman" w:hAnsi="Times New Roman" w:cs="Times New Roman"/>
          <w:sz w:val="24"/>
          <w:szCs w:val="24"/>
        </w:rPr>
        <w:t>, recopila y documenta un hecho relevante para toda la sociedad por la influencia de los agentes involucrados en el mismo.</w:t>
      </w:r>
    </w:p>
    <w:p w14:paraId="0ED7A9DF" w14:textId="77777777" w:rsidR="006B1C7A" w:rsidRDefault="00000000">
      <w:pPr>
        <w:spacing w:before="240" w:after="240" w:line="36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artículo, no solo se pretende ofrecer una visión clara sobre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emitidas por el Grupo Gilinski, sino también contribuir a la reflexión sobre las implicaciones que tales dinámicas tienen en la estructura económica y social del país, así como en las futuras interacciones en el ámbito empresarial.</w:t>
      </w:r>
    </w:p>
    <w:p w14:paraId="029C7C13" w14:textId="77777777" w:rsidR="006B1C7A" w:rsidRDefault="00000000">
      <w:pPr>
        <w:spacing w:before="240" w:after="240" w:line="36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se estructura en varios apartados, primero se presenta un marco teórico que contextualiza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y su relevancia en el mercado; seguido por un análisis detallado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emitidas por el Grupo Gilinski; se expone la actualidad de las empresas implicadas y las acciones ejecutadas para tal fin y, por último, se discuten los hallazgos más importantes, </w:t>
      </w:r>
      <w:r>
        <w:rPr>
          <w:rFonts w:ascii="Times New Roman" w:eastAsia="Times New Roman" w:hAnsi="Times New Roman" w:cs="Times New Roman"/>
          <w:sz w:val="24"/>
          <w:szCs w:val="24"/>
        </w:rPr>
        <w:lastRenderedPageBreak/>
        <w:t>concluyendo con reflexiones sobre la situación actual e incitando a posibles investigaciones sobre las dinámicas en el sector.</w:t>
      </w:r>
    </w:p>
    <w:p w14:paraId="485090E3" w14:textId="358B8230" w:rsidR="006B1C7A" w:rsidRDefault="00000000" w:rsidP="00BA0FB0">
      <w:pPr>
        <w:pStyle w:val="Ttulo1"/>
        <w:numPr>
          <w:ilvl w:val="0"/>
          <w:numId w:val="2"/>
        </w:numPr>
      </w:pPr>
      <w:bookmarkStart w:id="17" w:name="_Toc189565330"/>
      <w:r>
        <w:t>Estrategias Empresariales: Impulsando el Control</w:t>
      </w:r>
      <w:bookmarkEnd w:id="17"/>
      <w:r>
        <w:t xml:space="preserve"> </w:t>
      </w:r>
    </w:p>
    <w:p w14:paraId="55D31FD8" w14:textId="77777777" w:rsidR="006B1C7A"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figura del grupo económico se distingue por su estructura organizacional, su estrategia de diversificación y el control ejercido lo que le permite optimizar recursos y minimizar riesgos. Sin embargo, el concepto de control y subordinación dentro de estos grupos también plantea desafíos en términos de gobernanza y administración, lo que ha dado lugar a diversas teorías sobre cómo gestionar eficazmente estos conglomerados.</w:t>
      </w:r>
    </w:p>
    <w:p w14:paraId="1F7987F9" w14:textId="77777777" w:rsidR="006B1C7A" w:rsidRDefault="006B1C7A">
      <w:pPr>
        <w:spacing w:line="360" w:lineRule="auto"/>
        <w:ind w:firstLine="720"/>
        <w:rPr>
          <w:rFonts w:ascii="Times New Roman" w:eastAsia="Times New Roman" w:hAnsi="Times New Roman" w:cs="Times New Roman"/>
          <w:color w:val="FF0000"/>
          <w:sz w:val="24"/>
          <w:szCs w:val="24"/>
        </w:rPr>
      </w:pPr>
    </w:p>
    <w:p w14:paraId="14622185" w14:textId="77777777" w:rsidR="006B1C7A" w:rsidRDefault="00000000" w:rsidP="00BA0FB0">
      <w:pPr>
        <w:pStyle w:val="Ttulo2"/>
        <w:rPr>
          <w:b w:val="0"/>
        </w:rPr>
      </w:pPr>
      <w:bookmarkStart w:id="18" w:name="_Toc189565331"/>
      <w:r>
        <w:t>1.1 Caracterizando los Grupos Económicos</w:t>
      </w:r>
      <w:bookmarkEnd w:id="18"/>
      <w:r>
        <w:t xml:space="preserve"> </w:t>
      </w:r>
    </w:p>
    <w:p w14:paraId="13AC986D" w14:textId="77777777" w:rsidR="006B1C7A" w:rsidRDefault="00000000">
      <w:pPr>
        <w:spacing w:line="360" w:lineRule="auto"/>
        <w:ind w:firstLine="426"/>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Los grupos económicos se definen como un conjunto de empresas que comparten una estructura común, sin necesidad de operar en el mismo sector.  De acuerdo a </w:t>
      </w:r>
      <w:proofErr w:type="spellStart"/>
      <w:proofErr w:type="gramStart"/>
      <w:r>
        <w:rPr>
          <w:rFonts w:ascii="Times New Roman" w:eastAsia="Times New Roman" w:hAnsi="Times New Roman" w:cs="Times New Roman"/>
          <w:sz w:val="24"/>
          <w:szCs w:val="24"/>
        </w:rPr>
        <w:t>Barthélém</w:t>
      </w:r>
      <w:proofErr w:type="spellEnd"/>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2004, citado por Montiel, 2009) señala que un "grupo de sociedades" está formado por varias empresas que, aunque mantienen su independencia, están interconectadas por diversos vínculos. En este contexto, una de ellas, conocida como sociedad matriz, ejerce control sobre las demás, garantizando una unidad en la toma de decisiones.</w:t>
      </w:r>
    </w:p>
    <w:p w14:paraId="5F604E69" w14:textId="77777777" w:rsidR="006B1C7A" w:rsidRDefault="006B1C7A">
      <w:pPr>
        <w:spacing w:line="360" w:lineRule="auto"/>
        <w:rPr>
          <w:rFonts w:ascii="Times New Roman" w:eastAsia="Times New Roman" w:hAnsi="Times New Roman" w:cs="Times New Roman"/>
          <w:sz w:val="24"/>
          <w:szCs w:val="24"/>
        </w:rPr>
      </w:pPr>
    </w:p>
    <w:p w14:paraId="0CACF08F" w14:textId="77777777" w:rsidR="006B1C7A" w:rsidRDefault="00000000">
      <w:pPr>
        <w:spacing w:line="360" w:lineRule="auto"/>
        <w:ind w:firstLine="4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figura se presenta en diferentes países y en unos más que otros han tenido una trayectoria más larga, lo cual origina que el desarrollo de </w:t>
      </w:r>
      <w:proofErr w:type="gramStart"/>
      <w:r>
        <w:rPr>
          <w:rFonts w:ascii="Times New Roman" w:eastAsia="Times New Roman" w:hAnsi="Times New Roman" w:cs="Times New Roman"/>
          <w:sz w:val="24"/>
          <w:szCs w:val="24"/>
        </w:rPr>
        <w:t>los mismos</w:t>
      </w:r>
      <w:proofErr w:type="gramEnd"/>
      <w:r>
        <w:rPr>
          <w:rFonts w:ascii="Times New Roman" w:eastAsia="Times New Roman" w:hAnsi="Times New Roman" w:cs="Times New Roman"/>
          <w:sz w:val="24"/>
          <w:szCs w:val="24"/>
        </w:rPr>
        <w:t xml:space="preserve"> esté acompañado en algunas ocasiones de normas y legislaciones que los guíen con el fin de ser un apoyo en la economía del país.</w:t>
      </w:r>
    </w:p>
    <w:p w14:paraId="61954C54" w14:textId="77777777" w:rsidR="006B1C7A" w:rsidRDefault="006B1C7A">
      <w:pPr>
        <w:spacing w:line="360" w:lineRule="auto"/>
        <w:ind w:firstLine="720"/>
        <w:rPr>
          <w:rFonts w:ascii="Times New Roman" w:eastAsia="Times New Roman" w:hAnsi="Times New Roman" w:cs="Times New Roman"/>
          <w:sz w:val="24"/>
          <w:szCs w:val="24"/>
        </w:rPr>
      </w:pPr>
    </w:p>
    <w:p w14:paraId="379E1D11" w14:textId="4B37E275"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se hace un acercamiento a los países de América Latina que conciben los Grupos Económicos en su estructura de mercado, se destaca a México. </w:t>
      </w:r>
      <w:r w:rsidR="00BA0FB0">
        <w:rPr>
          <w:rFonts w:ascii="Times New Roman" w:eastAsia="Times New Roman" w:hAnsi="Times New Roman" w:cs="Times New Roman"/>
          <w:sz w:val="24"/>
          <w:szCs w:val="24"/>
        </w:rPr>
        <w:t>Según (</w:t>
      </w:r>
      <w:r>
        <w:rPr>
          <w:rFonts w:ascii="Times New Roman" w:eastAsia="Times New Roman" w:hAnsi="Times New Roman" w:cs="Times New Roman"/>
          <w:sz w:val="24"/>
          <w:szCs w:val="24"/>
        </w:rPr>
        <w:t xml:space="preserve">Chavarín, 2011) la carencia de datos históricos sistemáticos sobre las empresas dificulta realizar estimaciones precisas, pero los grupos económicos han sido la forma predominante de organización empresarial desde el inicio de la industrialización a finales del siglo XIX. </w:t>
      </w:r>
    </w:p>
    <w:p w14:paraId="47CDD3E4" w14:textId="77777777" w:rsidR="006B1C7A" w:rsidRDefault="006B1C7A">
      <w:pPr>
        <w:spacing w:line="360" w:lineRule="auto"/>
        <w:ind w:firstLine="720"/>
        <w:rPr>
          <w:rFonts w:ascii="Times New Roman" w:eastAsia="Times New Roman" w:hAnsi="Times New Roman" w:cs="Times New Roman"/>
          <w:sz w:val="24"/>
          <w:szCs w:val="24"/>
        </w:rPr>
      </w:pPr>
    </w:p>
    <w:p w14:paraId="3E46ACF1"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Chile, esta estructura también se manifiesta. El Servicio de Impuestos Internos de Chile (2021) señala que los grupos económicos tienen un considerable impacto en la economía nacional y juegan un papel importante en la sociedad. Estos grupos presentan una </w:t>
      </w:r>
      <w:r>
        <w:rPr>
          <w:rFonts w:ascii="Times New Roman" w:eastAsia="Times New Roman" w:hAnsi="Times New Roman" w:cs="Times New Roman"/>
          <w:sz w:val="24"/>
          <w:szCs w:val="24"/>
        </w:rPr>
        <w:lastRenderedPageBreak/>
        <w:t xml:space="preserve">gran diversidad de negocios, que abarcan desde el sector minorista hasta la construcción, e incluyen sociedades de inversión. </w:t>
      </w:r>
    </w:p>
    <w:p w14:paraId="38656E98" w14:textId="26634408"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Aunque hay otros países en América Latina que tienen esta estructura, es relevante mencionar a Argentina. Según </w:t>
      </w:r>
      <w:proofErr w:type="spellStart"/>
      <w:r>
        <w:rPr>
          <w:rFonts w:ascii="Times New Roman" w:eastAsia="Times New Roman" w:hAnsi="Times New Roman" w:cs="Times New Roman"/>
          <w:sz w:val="24"/>
          <w:szCs w:val="24"/>
        </w:rPr>
        <w:t>Gaggero</w:t>
      </w:r>
      <w:proofErr w:type="spellEnd"/>
      <w:r>
        <w:rPr>
          <w:rFonts w:ascii="Times New Roman" w:eastAsia="Times New Roman" w:hAnsi="Times New Roman" w:cs="Times New Roman"/>
          <w:sz w:val="24"/>
          <w:szCs w:val="24"/>
        </w:rPr>
        <w:t xml:space="preserve"> (2012) a finales de la década de 1980, los grupos económicos nacionales poseían más de un tercio de las doscientas empresas con mayores </w:t>
      </w:r>
      <w:r w:rsidR="00311125">
        <w:rPr>
          <w:rFonts w:ascii="Times New Roman" w:eastAsia="Times New Roman" w:hAnsi="Times New Roman" w:cs="Times New Roman"/>
          <w:sz w:val="24"/>
          <w:szCs w:val="24"/>
        </w:rPr>
        <w:t>ventas y</w:t>
      </w:r>
      <w:r>
        <w:rPr>
          <w:rFonts w:ascii="Times New Roman" w:eastAsia="Times New Roman" w:hAnsi="Times New Roman" w:cs="Times New Roman"/>
          <w:sz w:val="24"/>
          <w:szCs w:val="24"/>
        </w:rPr>
        <w:t xml:space="preserve"> representaban la fracción empresarial que había experimentado el mayor crecimiento en los años anteriores. </w:t>
      </w:r>
    </w:p>
    <w:p w14:paraId="26509D47"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en Colombia (Sánchez, et al., 2016) indican que la evidencia histórica y cuantitativa, según el registro de sociedades en el país, permite concluir que los grupos económicos, con sus estructuras de matrices, filiales, subordinadas y subsidiarias, que se han desarrollado a lo largo del tiempo a partir de procesos de diversificación, están presentes en la economía nacional. </w:t>
      </w:r>
    </w:p>
    <w:p w14:paraId="7DAE8162" w14:textId="77777777" w:rsidR="006B1C7A" w:rsidRDefault="006B1C7A">
      <w:pPr>
        <w:spacing w:line="360" w:lineRule="auto"/>
        <w:ind w:firstLine="720"/>
        <w:rPr>
          <w:rFonts w:ascii="Times New Roman" w:eastAsia="Times New Roman" w:hAnsi="Times New Roman" w:cs="Times New Roman"/>
          <w:sz w:val="24"/>
          <w:szCs w:val="24"/>
        </w:rPr>
      </w:pPr>
    </w:p>
    <w:p w14:paraId="2AA68F94"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 lo anterior, se puede decir que la figura de Grupo Económico está presente en diversos países, lo que indica, además, que esto es una forma de establecerse en el mercado como una gran empresa y, lo más importante, de mantenerse a través del tiempo, aun con las dificultades que se presentan en los ámbitos políticos, económicos y sociales en los diferentes países, en el caso colombiano, estos han representado un reflejo de desarrollo económico ya que, según (Estrada, 2022), “el Grupo antioqueño generó ingresos por $79,18 billones, lo que representó cerca de la mitad del Producto Interno Bruto (PIB) de Antioquia y el 6,7% del PIB nacional.”</w:t>
      </w:r>
    </w:p>
    <w:p w14:paraId="52DEE7B9" w14:textId="77777777" w:rsidR="006B1C7A" w:rsidRDefault="006B1C7A">
      <w:pPr>
        <w:spacing w:line="360" w:lineRule="auto"/>
        <w:ind w:firstLine="720"/>
        <w:rPr>
          <w:rFonts w:ascii="Times New Roman" w:eastAsia="Times New Roman" w:hAnsi="Times New Roman" w:cs="Times New Roman"/>
          <w:sz w:val="24"/>
          <w:szCs w:val="24"/>
        </w:rPr>
      </w:pPr>
    </w:p>
    <w:p w14:paraId="4C6C7E92"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consecuencia, los Grupos Económicos presentan una serie de características que hacen que se pueda identificar y diferenciar de las demás figuras de empresa en el mercado, entre estas, las características más evidentes son, su estructura de organización enfocada a la diversificación y el control.</w:t>
      </w:r>
    </w:p>
    <w:p w14:paraId="7940831F" w14:textId="77777777" w:rsidR="006B1C7A" w:rsidRDefault="006B1C7A">
      <w:pPr>
        <w:spacing w:line="360" w:lineRule="auto"/>
        <w:ind w:firstLine="720"/>
        <w:rPr>
          <w:rFonts w:ascii="Times New Roman" w:eastAsia="Times New Roman" w:hAnsi="Times New Roman" w:cs="Times New Roman"/>
          <w:sz w:val="24"/>
          <w:szCs w:val="24"/>
        </w:rPr>
      </w:pPr>
    </w:p>
    <w:p w14:paraId="3AF34588" w14:textId="3D1CC41A"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relación con la estructura organizacional, es relevante destacar que esta se manifiesta a través de la diversificación. Según (Rentería, et al., 2009), los grupos económicos pueden adquirir empresas sin considerar la actividad económica que estas realicen, ya que una de las características fundamentales de estos grupos es precisamente la diversificación. Esta estrategia se puede interpretar desde la perspectiva del riesgo, </w:t>
      </w:r>
      <w:r w:rsidR="00311125">
        <w:rPr>
          <w:rFonts w:ascii="Times New Roman" w:eastAsia="Times New Roman" w:hAnsi="Times New Roman" w:cs="Times New Roman"/>
          <w:sz w:val="24"/>
          <w:szCs w:val="24"/>
        </w:rPr>
        <w:t>dado que,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si un grupo empresarial está concentrado en un solo sector del mercado, enfrenta el riesgo de sufrir grandes fluctuaciones que podrían llevarlo a cesar sus operaciones.</w:t>
      </w:r>
    </w:p>
    <w:p w14:paraId="21BF4342" w14:textId="77777777" w:rsidR="006B1C7A" w:rsidRDefault="006B1C7A">
      <w:pPr>
        <w:spacing w:line="360" w:lineRule="auto"/>
        <w:rPr>
          <w:rFonts w:ascii="Times New Roman" w:eastAsia="Times New Roman" w:hAnsi="Times New Roman" w:cs="Times New Roman"/>
          <w:sz w:val="24"/>
          <w:szCs w:val="24"/>
        </w:rPr>
      </w:pPr>
    </w:p>
    <w:p w14:paraId="4183EE14"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según la Ley 222 de 1995 en el Artículo 28, las características para que se considere grupo empresarial en Colombia son: </w:t>
      </w:r>
    </w:p>
    <w:p w14:paraId="7D514A75" w14:textId="77777777" w:rsidR="006B1C7A" w:rsidRDefault="006B1C7A">
      <w:pPr>
        <w:spacing w:line="360" w:lineRule="auto"/>
        <w:ind w:firstLine="720"/>
        <w:rPr>
          <w:rFonts w:ascii="Times New Roman" w:eastAsia="Times New Roman" w:hAnsi="Times New Roman" w:cs="Times New Roman"/>
          <w:sz w:val="24"/>
          <w:szCs w:val="24"/>
        </w:rPr>
      </w:pPr>
    </w:p>
    <w:p w14:paraId="32A25880" w14:textId="77777777" w:rsidR="006B1C7A" w:rsidRDefault="00000000">
      <w:pPr>
        <w:spacing w:line="36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“Habrá grupo empresarial cuando además del vínculo de subordinación, exista entre las entidades unidad de propósito y dirección. Se entenderá que existe unidad de propósito y dirección cuando la existencia y actividades de todas las entidades persigan la consecución de un objetivo determinado por la matriz o controlante en virtud de la dirección que ejerce sobre el conjunto, sin perjuicio del desarrollo individual del objeto social o actividad de cada una de ellas.” (párr. 2)</w:t>
      </w:r>
    </w:p>
    <w:p w14:paraId="1929F2DB" w14:textId="77777777" w:rsidR="006B1C7A" w:rsidRDefault="006B1C7A">
      <w:pPr>
        <w:spacing w:line="360" w:lineRule="auto"/>
        <w:rPr>
          <w:rFonts w:ascii="Times New Roman" w:eastAsia="Times New Roman" w:hAnsi="Times New Roman" w:cs="Times New Roman"/>
          <w:sz w:val="24"/>
          <w:szCs w:val="24"/>
        </w:rPr>
      </w:pPr>
    </w:p>
    <w:p w14:paraId="7956728E" w14:textId="16E9787B"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pretende resaltar con lo anterior la característica enfocada a la unidad de propósito y dirección que se menciona, ya </w:t>
      </w:r>
      <w:r w:rsidR="00311125">
        <w:rPr>
          <w:rFonts w:ascii="Times New Roman" w:eastAsia="Times New Roman" w:hAnsi="Times New Roman" w:cs="Times New Roman"/>
          <w:sz w:val="24"/>
          <w:szCs w:val="24"/>
        </w:rPr>
        <w:t>que,</w:t>
      </w:r>
      <w:r>
        <w:rPr>
          <w:rFonts w:ascii="Times New Roman" w:eastAsia="Times New Roman" w:hAnsi="Times New Roman" w:cs="Times New Roman"/>
          <w:sz w:val="24"/>
          <w:szCs w:val="24"/>
        </w:rPr>
        <w:t xml:space="preserve"> aunque es importante la característica de subordinación que se percibe en esta figura es en la segunda parte donde se evidencia el objetivo común mostrando que la finalidad de los Grupos Económicos es además de maximizar los beneficios y abarcar gran parte del mercado, es minimizar riesgos en cuanto a la inversión de diferentes sectores.</w:t>
      </w:r>
    </w:p>
    <w:p w14:paraId="047597DE"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 aspecto influyente y de especial atención es la figura de control entre estas, la cual es definida por Montiel (2009) como una situación en la que una o varias personas ejercen influencia significativa sobre otro ente o persona que puede determinar las decisiones que esta última lleve a cabo.</w:t>
      </w:r>
    </w:p>
    <w:p w14:paraId="2E4FD0E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Así mismo, este autor sostiene y enfatiza que no se debe confundir la figura de control, subordinación o dependencia económica y la existencia de esta en todas las relaciones empresariales, es decir,</w:t>
      </w:r>
    </w:p>
    <w:p w14:paraId="470D082D" w14:textId="77777777" w:rsidR="006B1C7A" w:rsidRDefault="00000000">
      <w:pPr>
        <w:spacing w:before="240" w:after="240" w:line="360" w:lineRule="auto"/>
        <w:ind w:left="70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Pues siempre que estemos frente al grupo, se supone la preexistencia de dicho control, pero no en toda ocasión que exista un control societario, nos encontraremos con la figura de más interés en este escrito, cuál es, el grupo de sociedades o grupo empresarial; en otras palabras, no siempre que haya control o subordinación habrá grupo empresarial (Montiel, 2009, p. 8).</w:t>
      </w:r>
    </w:p>
    <w:p w14:paraId="59FF8847"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lo que se puede afirmar, que la existencia de control societario no siempre implica la formación de un grupo empresarial o un grupo de sociedades. En otras palabras, aunque el control sobre una o más sociedades por parte de otra entidad es un elemento común en los grupos empresariales, no siempre que haya control o subordinación se configurará un grupo empresarial. Esto sugiere que para que exista un grupo empresarial se requieren otros elementos o condiciones adicionales dejando de lado la figura de control.</w:t>
      </w:r>
    </w:p>
    <w:p w14:paraId="3B1BF525"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Chiavenato (2019) reconoce y promueve que el control es necesario para la administración, tanto así, que quien administre tiene la obligación de controlar cada una de las actuaciones de sus subordinados para que estos no se desvíen de los objetivos y metas que se han establecido.</w:t>
      </w:r>
    </w:p>
    <w:p w14:paraId="3A984EC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propósito del control es garantizar que los resultados de lo que se ha planeado, organizado y dirigido se alineen lo más posible con los objetivos establecidos. La esencia del control consiste en comprobar si la actividad supervisada está logrando los objetivos o resultados esperados. El control es un proceso que orienta la actividad hacia un objetivo previamente definido.</w:t>
      </w:r>
    </w:p>
    <w:p w14:paraId="0012127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 decir, para que exista la figura de control previamente deben establecerse objetivos y metas que interfieren sobre todos los participantes que componen la organización; la ausencia de tales lineamientos imposibilita que haya un control, porque aquello que se dirige y administra carece de un sentido o dirección en común, por lo que siempre que se esté frente a un control entre o en las organizaciones es porque estas persiguen una meta en común.</w:t>
      </w:r>
    </w:p>
    <w:p w14:paraId="505A21BC"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orden de ideas, en un contexto de OPA, con respecto al control, el accionista mayoritario, debido a su responsabilidad hacia los accionistas minoritarios y la confianza que estos han depositado en él, no puede llevar a cabo acciones que pongan en peligro la oferta. Esto se debe a una norma de neutralidad que garantiza a los demás accionistas el derecho a decidir sobre su permanencia en la empresa objetivo (González, 2023). </w:t>
      </w:r>
    </w:p>
    <w:p w14:paraId="2CCD1B57" w14:textId="77777777" w:rsidR="006B1C7A" w:rsidRDefault="00000000" w:rsidP="00BA0FB0">
      <w:pPr>
        <w:pStyle w:val="Ttulo2"/>
      </w:pPr>
      <w:bookmarkStart w:id="19" w:name="_Toc189565332"/>
      <w:r>
        <w:t>1.2 Teorías alineadas a los Grupos Empresariales</w:t>
      </w:r>
      <w:bookmarkEnd w:id="19"/>
    </w:p>
    <w:p w14:paraId="539EAB40"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empresas son organizaciones humanas que tienen como estrategia obtener beneficios mediante la coordinación y cooperación de recursos humanos, económicos y tecnológicos, por lo que, además, de la figura de control surgen otras estrategias para administrar los grupos empresariales (García, et al., 2012).</w:t>
      </w:r>
    </w:p>
    <w:p w14:paraId="091C9D8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ese orden de ideas surge la teoría de la agencia, para Jensen y </w:t>
      </w:r>
      <w:proofErr w:type="spellStart"/>
      <w:r>
        <w:rPr>
          <w:rFonts w:ascii="Times New Roman" w:eastAsia="Times New Roman" w:hAnsi="Times New Roman" w:cs="Times New Roman"/>
          <w:sz w:val="24"/>
          <w:szCs w:val="24"/>
        </w:rPr>
        <w:t>Meckling</w:t>
      </w:r>
      <w:proofErr w:type="spellEnd"/>
      <w:r>
        <w:rPr>
          <w:rFonts w:ascii="Times New Roman" w:eastAsia="Times New Roman" w:hAnsi="Times New Roman" w:cs="Times New Roman"/>
          <w:sz w:val="24"/>
          <w:szCs w:val="24"/>
        </w:rPr>
        <w:t>, (1976, citado por Quintero, et al. (2020) la cual es definida como un acuerdo en el que una o más personas (el principal) contratan a otra persona (el agente) para que realice una serie de actividades administrativas en su nombre, lo que implica otorgar cierta autoridad al agente para tomar decisiones. El principal puede reducir las diferencias con respecto a sus intereses mediante la creación de incentivos adecuados para el agente, considerando que estas discrepancias inciden en las decisiones del agente y en aquellas que maximicen el bienestar del principal.</w:t>
      </w:r>
    </w:p>
    <w:p w14:paraId="29D31CE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relación con lo planteado por los autores, la teoría de la agencia surge con la necesidad de separar la propiedad y gestión de una organización, ahora bien, con esta se delega autoridad para la toma de decisiones, pues se parte de la premisa que el agente cuenta con la suficiente información para apropiarse de las oportunidades que maximicen el beneficio de los principales.</w:t>
      </w:r>
    </w:p>
    <w:p w14:paraId="2307B45D"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su parte, hay otra discusión emergente alrededor de este modelo de gestión y es la multiplicidad de agentes y principales, lo cual dificulta el modelo al no tener un interés común y alineado, dejando en evidencia conflictos de intereses y la nula maximización del beneficio de todos los principales. Algo similar plantea </w:t>
      </w:r>
      <w:proofErr w:type="spellStart"/>
      <w:r>
        <w:rPr>
          <w:rFonts w:ascii="Times New Roman" w:eastAsia="Times New Roman" w:hAnsi="Times New Roman" w:cs="Times New Roman"/>
          <w:sz w:val="24"/>
          <w:szCs w:val="24"/>
        </w:rPr>
        <w:t>Goodin</w:t>
      </w:r>
      <w:proofErr w:type="spellEnd"/>
      <w:r>
        <w:rPr>
          <w:rFonts w:ascii="Times New Roman" w:eastAsia="Times New Roman" w:hAnsi="Times New Roman" w:cs="Times New Roman"/>
          <w:sz w:val="24"/>
          <w:szCs w:val="24"/>
        </w:rPr>
        <w:t xml:space="preserve"> (2003, citado por Ganga et al., 2015) y </w:t>
      </w:r>
      <w:proofErr w:type="spellStart"/>
      <w:r>
        <w:rPr>
          <w:rFonts w:ascii="Times New Roman" w:eastAsia="Times New Roman" w:hAnsi="Times New Roman" w:cs="Times New Roman"/>
          <w:sz w:val="24"/>
          <w:szCs w:val="24"/>
        </w:rPr>
        <w:t>Waterman</w:t>
      </w:r>
      <w:proofErr w:type="spellEnd"/>
      <w:r>
        <w:rPr>
          <w:rFonts w:ascii="Times New Roman" w:eastAsia="Times New Roman" w:hAnsi="Times New Roman" w:cs="Times New Roman"/>
          <w:sz w:val="24"/>
          <w:szCs w:val="24"/>
        </w:rPr>
        <w:t xml:space="preserve"> y Meier (1998, citado por Ganga et al., 2015) al plantear que, con la existencia de varios agentes la información puede distorsionarse y algunos de estos pueden desconocer los intereses del principal por lo que no se cumple el objetivo primordial del modelo de gestión de administrar la organización buscando la maximización del principal.</w:t>
      </w:r>
    </w:p>
    <w:p w14:paraId="799F1857"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las organizaciones se lleva a cabo constantemente la toma de decisiones lo cual es de gran relevancia para todas las partes interesadas de la organización debido que, las decisiones al final de cuentas terminan impactando de forma directa o indirecta a los miembros de la sociedad.</w:t>
      </w:r>
    </w:p>
    <w:p w14:paraId="6775C986" w14:textId="77777777" w:rsidR="006B1C7A" w:rsidRDefault="006B1C7A">
      <w:pPr>
        <w:spacing w:line="360" w:lineRule="auto"/>
        <w:ind w:firstLine="720"/>
        <w:rPr>
          <w:rFonts w:ascii="Times New Roman" w:eastAsia="Times New Roman" w:hAnsi="Times New Roman" w:cs="Times New Roman"/>
          <w:sz w:val="24"/>
          <w:szCs w:val="24"/>
        </w:rPr>
      </w:pPr>
    </w:p>
    <w:p w14:paraId="2CC106B4"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anteriormente mencionado, se ve de forma más clara con la teoría de los stakeholders que como lo menciona Jones y </w:t>
      </w:r>
      <w:proofErr w:type="spellStart"/>
      <w:r>
        <w:rPr>
          <w:rFonts w:ascii="Times New Roman" w:eastAsia="Times New Roman" w:hAnsi="Times New Roman" w:cs="Times New Roman"/>
          <w:sz w:val="24"/>
          <w:szCs w:val="24"/>
        </w:rPr>
        <w:t>Wicks</w:t>
      </w:r>
      <w:proofErr w:type="spellEnd"/>
      <w:r>
        <w:rPr>
          <w:rFonts w:ascii="Times New Roman" w:eastAsia="Times New Roman" w:hAnsi="Times New Roman" w:cs="Times New Roman"/>
          <w:sz w:val="24"/>
          <w:szCs w:val="24"/>
        </w:rPr>
        <w:t xml:space="preserve"> (1999, citado por González, 2010), se trata del modelo de grupos de interés, que tiene como objetivo analizar la gestión empresarial e integra los diversos intereses que emergen en torno a una organización. </w:t>
      </w:r>
    </w:p>
    <w:p w14:paraId="042AE5E3" w14:textId="77777777" w:rsidR="006B1C7A" w:rsidRDefault="006B1C7A">
      <w:pPr>
        <w:spacing w:line="360" w:lineRule="auto"/>
        <w:ind w:firstLine="720"/>
        <w:rPr>
          <w:rFonts w:ascii="Times New Roman" w:eastAsia="Times New Roman" w:hAnsi="Times New Roman" w:cs="Times New Roman"/>
          <w:sz w:val="24"/>
          <w:szCs w:val="24"/>
        </w:rPr>
      </w:pPr>
    </w:p>
    <w:p w14:paraId="7CC1D54E"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Esta teoría saca a la luz la importancia de la responsabilidad en el ámbito corporativo debido que la empresa no es importante solamente para los dueños o accionistas sino además para todos y cada uno de los que la integran.</w:t>
      </w:r>
    </w:p>
    <w:p w14:paraId="17CCFFBF" w14:textId="47813F4E" w:rsidR="006B1C7A" w:rsidRDefault="00000000" w:rsidP="00BA0FB0">
      <w:pPr>
        <w:pStyle w:val="Ttulo1"/>
        <w:numPr>
          <w:ilvl w:val="0"/>
          <w:numId w:val="2"/>
        </w:numPr>
      </w:pPr>
      <w:bookmarkStart w:id="20" w:name="_Toc189565333"/>
      <w:r>
        <w:t>El inicio del escenario GEA-GILINSKI</w:t>
      </w:r>
      <w:bookmarkEnd w:id="20"/>
    </w:p>
    <w:p w14:paraId="656007C6" w14:textId="77777777" w:rsidR="006B1C7A" w:rsidRDefault="00000000" w:rsidP="00BA0FB0">
      <w:pPr>
        <w:pStyle w:val="Ttulo2"/>
      </w:pPr>
      <w:bookmarkStart w:id="21" w:name="_Toc189565334"/>
      <w:r>
        <w:t xml:space="preserve">2.1 Caracterizando las </w:t>
      </w:r>
      <w:proofErr w:type="spellStart"/>
      <w:r>
        <w:t>OPAs</w:t>
      </w:r>
      <w:bookmarkEnd w:id="21"/>
      <w:proofErr w:type="spellEnd"/>
    </w:p>
    <w:p w14:paraId="30171EA2"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primer lugar, Colombia es un país en el que las finanzas bursátiles aún son relativamente nuevas en comparación con otros países de América Latina, en particular, las Ofertas Públicas de Adquisición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tienen un desarrollo poco frecuente en el país. Según Romero (2023)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se definen como transacciones financieras en las cuales personas naturales o jurídicas realizan una Oferta Pública de Adquisición, para lograr con estas tener el control de una determinada empresa.</w:t>
      </w:r>
    </w:p>
    <w:p w14:paraId="01FEEF5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entender el surgimiento de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en el país, es crucial destacar el papel de la Bolsa de Valores de Colombia en este contexto. Esta institución lleva a cabo transacciones con información real y transparente, lo que permite a los inversores tomar decisiones más informadas. Según la Federación Iberoamericana de Bolsas (s.f.) “La Bolsa de Valores de Colombia (BVC) es una Bolsa </w:t>
      </w:r>
      <w:proofErr w:type="spellStart"/>
      <w:r>
        <w:rPr>
          <w:rFonts w:ascii="Times New Roman" w:eastAsia="Times New Roman" w:hAnsi="Times New Roman" w:cs="Times New Roman"/>
          <w:sz w:val="24"/>
          <w:szCs w:val="24"/>
        </w:rPr>
        <w:t>multi-producto</w:t>
      </w:r>
      <w:proofErr w:type="spellEnd"/>
      <w:r>
        <w:rPr>
          <w:rFonts w:ascii="Times New Roman" w:eastAsia="Times New Roman" w:hAnsi="Times New Roman" w:cs="Times New Roman"/>
          <w:sz w:val="24"/>
          <w:szCs w:val="24"/>
        </w:rPr>
        <w:t xml:space="preserve"> creada de 2001 como resultado de la fusión de las Bolsas de Bogotá, Medellín y Occidente”.</w:t>
      </w:r>
    </w:p>
    <w:p w14:paraId="2C2FAE53"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Tras la creación de la Bolsa de Valores de Colombia (BVC), se empezaron a llevar a cabo un número creciente de transacciones, incluidas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realizadas por empresas que tienen sus acciones en la BVC. Entre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más destacadas en Colombia, algunas se diferencian por su desarrollo y la magnitud de las acciones involucradas. </w:t>
      </w:r>
      <w:proofErr w:type="gramStart"/>
      <w:r>
        <w:rPr>
          <w:rFonts w:ascii="Times New Roman" w:eastAsia="Times New Roman" w:hAnsi="Times New Roman" w:cs="Times New Roman"/>
          <w:sz w:val="24"/>
          <w:szCs w:val="24"/>
        </w:rPr>
        <w:t>De acuerdo al</w:t>
      </w:r>
      <w:proofErr w:type="gramEnd"/>
      <w:r>
        <w:rPr>
          <w:rFonts w:ascii="Times New Roman" w:eastAsia="Times New Roman" w:hAnsi="Times New Roman" w:cs="Times New Roman"/>
          <w:sz w:val="24"/>
          <w:szCs w:val="24"/>
        </w:rPr>
        <w:t xml:space="preserve"> diario La República (2022) La compra de Bavaria, que en ese momento era parte del Grupo </w:t>
      </w:r>
      <w:proofErr w:type="spellStart"/>
      <w:r>
        <w:rPr>
          <w:rFonts w:ascii="Times New Roman" w:eastAsia="Times New Roman" w:hAnsi="Times New Roman" w:cs="Times New Roman"/>
          <w:sz w:val="24"/>
          <w:szCs w:val="24"/>
        </w:rPr>
        <w:t>Santodomingo</w:t>
      </w:r>
      <w:proofErr w:type="spellEnd"/>
      <w:r>
        <w:rPr>
          <w:rFonts w:ascii="Times New Roman" w:eastAsia="Times New Roman" w:hAnsi="Times New Roman" w:cs="Times New Roman"/>
          <w:sz w:val="24"/>
          <w:szCs w:val="24"/>
        </w:rPr>
        <w:t xml:space="preserve"> (que incluye Caracol Televisión, </w:t>
      </w:r>
      <w:proofErr w:type="spellStart"/>
      <w:r>
        <w:rPr>
          <w:rFonts w:ascii="Times New Roman" w:eastAsia="Times New Roman" w:hAnsi="Times New Roman" w:cs="Times New Roman"/>
          <w:sz w:val="24"/>
          <w:szCs w:val="24"/>
        </w:rPr>
        <w:t>Blu</w:t>
      </w:r>
      <w:proofErr w:type="spellEnd"/>
      <w:r>
        <w:rPr>
          <w:rFonts w:ascii="Times New Roman" w:eastAsia="Times New Roman" w:hAnsi="Times New Roman" w:cs="Times New Roman"/>
          <w:sz w:val="24"/>
          <w:szCs w:val="24"/>
        </w:rPr>
        <w:t xml:space="preserve"> Radio, El Espectador y Cine Colombia), por parte de </w:t>
      </w:r>
      <w:proofErr w:type="spellStart"/>
      <w:r>
        <w:rPr>
          <w:rFonts w:ascii="Times New Roman" w:eastAsia="Times New Roman" w:hAnsi="Times New Roman" w:cs="Times New Roman"/>
          <w:sz w:val="24"/>
          <w:szCs w:val="24"/>
        </w:rPr>
        <w:t>SAB</w:t>
      </w:r>
      <w:proofErr w:type="spellEnd"/>
      <w:r>
        <w:rPr>
          <w:rFonts w:ascii="Times New Roman" w:eastAsia="Times New Roman" w:hAnsi="Times New Roman" w:cs="Times New Roman"/>
          <w:sz w:val="24"/>
          <w:szCs w:val="24"/>
        </w:rPr>
        <w:t xml:space="preserve"> Miller en 2005 fue la primera gran adquisición. </w:t>
      </w:r>
    </w:p>
    <w:p w14:paraId="3C3F6CF6"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pesar de estas ofertas destacadas, en los últimos 23 años se han registrado un total de 63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en Colombia. Aunque no todas han sido exitosas, este número refleja el desarrollo de estrategias bursátiles en el mercado colombiano y el creciente interés en adquirir control en diferentes sectores. Según Díaz y Pérez (2023) “cada año se llevaron a cabo, en el mejor de los casos, 6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de compañías con gran fortaleza financiera que suelen utilizar esta metodología para adquirir otras. Además, al comparar el número de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con la </w:t>
      </w:r>
      <w:r>
        <w:rPr>
          <w:rFonts w:ascii="Times New Roman" w:eastAsia="Times New Roman" w:hAnsi="Times New Roman" w:cs="Times New Roman"/>
          <w:sz w:val="24"/>
          <w:szCs w:val="24"/>
        </w:rPr>
        <w:lastRenderedPageBreak/>
        <w:t>información sobre las empresas listadas anualmente en la BVC, se observa que, en promedio, el 6 % de las empresas listadas recibieron una oferta pública de adquisición durante el periodo analizado</w:t>
      </w:r>
    </w:p>
    <w:p w14:paraId="6843FCCB" w14:textId="40BA226E"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generan como se mencionó anteriormente un crecimiento en el mercado del país debido a las diferentes transacciones que se realizan para lograr el objetivo de adquirir la sociedad deseada, pero es importante tener conocimiento que así como hay diferentes tipos de opciones bursátiles también existen diferentes formas de ejercer y desarrollar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en donde estas no solo generan un impacto positivo para toda la sociedad, si no que, en algunas ocasiones algunos </w:t>
      </w:r>
      <w:r w:rsidR="00311125">
        <w:rPr>
          <w:rFonts w:ascii="Times New Roman" w:eastAsia="Times New Roman" w:hAnsi="Times New Roman" w:cs="Times New Roman"/>
          <w:sz w:val="24"/>
          <w:szCs w:val="24"/>
        </w:rPr>
        <w:t>stakeholders</w:t>
      </w:r>
      <w:r>
        <w:rPr>
          <w:rFonts w:ascii="Times New Roman" w:eastAsia="Times New Roman" w:hAnsi="Times New Roman" w:cs="Times New Roman"/>
          <w:sz w:val="24"/>
          <w:szCs w:val="24"/>
        </w:rPr>
        <w:t xml:space="preserve"> resultan afectados.</w:t>
      </w:r>
    </w:p>
    <w:p w14:paraId="1345F960"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Dentro de la modalidad en que se pueden presentar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existen tanto amistosas como de carácter hostil y frente a esto es que se puede evidenciar cual es el objetivo del oferente; tal como lo explica Ramírez (2001), es habitual que en las operaciones donde el oferente busca maximizar su inversión mediante el desplazamiento de los directivos y la implementación de cambios drásticos en la gestión de la empresa se produzca hostilidad. Por otro lado, las operaciones amistosas o negociadas suelen estar impulsadas por la búsqueda de sinergias y los beneficios que típicamente resultan de la integración de dos empresas.</w:t>
      </w:r>
    </w:p>
    <w:p w14:paraId="7E7C947D"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importancia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desde una perspectiva positiva para ambas partes radica en varios aspectos, el primero es la oportunidad de que los accionistas de la empresa vendan a un precio muy superior al que incluso se encuentra en la bolsa de valores, pero este beneficio no solo es para los accionistas de la empresa que se quiere adquirir, tal como lo rectifica Aguirre (2007) los accionistas de las empresas objeto de una operación de adquisición se benefician claramente de este proceso de control llevado a cabo por el mercado de valores a través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De hecho, tienen la opción de vender sus acciones a un precio generalmente superior al del mercado o permanecer en la empresa para aprovechar los cambios de gestión que podría introducir el oferente.</w:t>
      </w:r>
    </w:p>
    <w:p w14:paraId="0C597D98"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beneficios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también se presentan indudablemente para el ofertante que en este caso al ser quien realiza esta operación está en busca de diversas ventajas y posiciones en el mercado, bien sea adquirir más control de un mismo sector, tener más poder e influencia en el mercado en general o simplemente realizar diferentes estrategias que con el paso del tiempo lo acerquen a los resultados que quiere obtener. Como lo menciona Rebaza, (2005) Al adquirir una empresa, se obtiene el control sobre ella, lo que implica tomar </w:t>
      </w:r>
      <w:r>
        <w:rPr>
          <w:rFonts w:ascii="Times New Roman" w:eastAsia="Times New Roman" w:hAnsi="Times New Roman" w:cs="Times New Roman"/>
          <w:sz w:val="24"/>
          <w:szCs w:val="24"/>
        </w:rPr>
        <w:lastRenderedPageBreak/>
        <w:t>decisiones clave para optimizar el flujo de caja, los resultados operativos, la gestión, las finanzas y las operaciones técnicas. Este control se manifiesta en la designación de la junta directiva, de los gerentes y en la adopción de decisiones significativas.</w:t>
      </w:r>
    </w:p>
    <w:p w14:paraId="6033DF32"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 opción de adquirir acciones de una compañía tiene la característica de que, tras finalizar la transacción, la empresa cuyo accionista ha decidido vender su participación no experimenta cambios estructurales o sustanciales frente a terceros, a diferencia de lo que puede suceder en una fusión o una escisión, que pueden implicar modificaciones más profundas en la estructura de la empresa.</w:t>
      </w:r>
    </w:p>
    <w:p w14:paraId="41067D19"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con respecto a la relación que puede surgir entre el control y el método de la adquisición de acciones por medio de Oferta Pública es directa, siendo esta última la herramienta para adquirir control.</w:t>
      </w:r>
    </w:p>
    <w:p w14:paraId="30F9EC3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Según la definición de ofertas públicas proporcionada por el Gobierno Nacional en el ARTÍCULO 6.15.2.1.1 del Decreto 2555 de 2010, se establece que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están estrechamente vinculadas al control societario. Por esta razón, los porcentajes de acciones con derecho a voto que se busca adquirir son importantes: se debe adquirir al menos el 25%, y luego se puede seguir incrementando en un mínimo del 5%. Esto se considera un criterio fundamental para diferenciarse de las negociaciones ordinarias de acciones. Así, la obligación de realizar una OPA surge de un hecho objetivo que consiste en la adquisición del control sobre una sociedad que cotiza en bolsa (González, 2023).</w:t>
      </w:r>
    </w:p>
    <w:p w14:paraId="7EE6F1E8" w14:textId="77777777" w:rsidR="006B1C7A" w:rsidRDefault="00000000" w:rsidP="00BA0FB0">
      <w:pPr>
        <w:pStyle w:val="Ttulo2"/>
      </w:pPr>
      <w:bookmarkStart w:id="22" w:name="_Toc189565335"/>
      <w:r>
        <w:t>2.2 Actores clave en el conflicto</w:t>
      </w:r>
      <w:bookmarkEnd w:id="22"/>
    </w:p>
    <w:p w14:paraId="7CDB56E0" w14:textId="6B3A16EF"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Grupo Empresarial Antioqueño-GEA- nació con la migración en la década de 1950 y principios de 1970 de varios grupos empresariales del país al departamento de Antioquia, con la intención de adquirir las empresas antioqueñas más representativas e influyentes. Por esta razón, un grupo de empresarios vio como alternativa crear un enroque en donde las grandes empresas Antioqueñas se comprarán entre sí, adquiriendo porcentajes y evitando que otros foráneos tomarán el control, para de esta manera, conservar la historia empresarial </w:t>
      </w:r>
      <w:r w:rsidR="00311125">
        <w:rPr>
          <w:rFonts w:ascii="Times New Roman" w:eastAsia="Times New Roman" w:hAnsi="Times New Roman" w:cs="Times New Roman"/>
          <w:sz w:val="24"/>
          <w:szCs w:val="24"/>
        </w:rPr>
        <w:t>paisa</w:t>
      </w:r>
      <w:r>
        <w:rPr>
          <w:rFonts w:ascii="Times New Roman" w:eastAsia="Times New Roman" w:hAnsi="Times New Roman" w:cs="Times New Roman"/>
          <w:sz w:val="24"/>
          <w:szCs w:val="24"/>
        </w:rPr>
        <w:t xml:space="preserve"> (Cano, 2013). </w:t>
      </w:r>
    </w:p>
    <w:p w14:paraId="05A0CA7C"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primer cambio se dio entre los años 1968 y 1978 de la mano de la familia Ardila Lulle quien tomó el control de las gaseosas Lux y de la empresa Coltejer consiguiendo con </w:t>
      </w:r>
      <w:r>
        <w:rPr>
          <w:rFonts w:ascii="Times New Roman" w:eastAsia="Times New Roman" w:hAnsi="Times New Roman" w:cs="Times New Roman"/>
          <w:sz w:val="24"/>
          <w:szCs w:val="24"/>
        </w:rPr>
        <w:lastRenderedPageBreak/>
        <w:t>esto participación significativa en otras grandes empresas como Suramericana de Seguros, logrando de esta manera tener control en las promotoras económicas regionales y nacionales.</w:t>
      </w:r>
    </w:p>
    <w:p w14:paraId="0484BB4F"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Posterior a esto, algunos grupos financieros y económicos con capacidad adquisitiva importante como el Grancolombiano y Santo Domingo, empezaron a adquirir importantes porcentajes de acciones de emblemáticas empresas antioqueñas como Nacional de Chocolates, Noel, </w:t>
      </w:r>
      <w:proofErr w:type="gramStart"/>
      <w:r>
        <w:rPr>
          <w:rFonts w:ascii="Times New Roman" w:eastAsia="Times New Roman" w:hAnsi="Times New Roman" w:cs="Times New Roman"/>
          <w:sz w:val="24"/>
          <w:szCs w:val="24"/>
        </w:rPr>
        <w:t>Suramericana</w:t>
      </w:r>
      <w:proofErr w:type="gramEnd"/>
      <w:r>
        <w:rPr>
          <w:rFonts w:ascii="Times New Roman" w:eastAsia="Times New Roman" w:hAnsi="Times New Roman" w:cs="Times New Roman"/>
          <w:sz w:val="24"/>
          <w:szCs w:val="24"/>
        </w:rPr>
        <w:t xml:space="preserve">, Argos, Coltabaco, Fabricato, Cadenalco, Cine Colombia y </w:t>
      </w:r>
      <w:proofErr w:type="spellStart"/>
      <w:r>
        <w:rPr>
          <w:rFonts w:ascii="Times New Roman" w:eastAsia="Times New Roman" w:hAnsi="Times New Roman" w:cs="Times New Roman"/>
          <w:sz w:val="24"/>
          <w:szCs w:val="24"/>
        </w:rPr>
        <w:t>Simesa</w:t>
      </w:r>
      <w:proofErr w:type="spellEnd"/>
      <w:r>
        <w:rPr>
          <w:rFonts w:ascii="Times New Roman" w:eastAsia="Times New Roman" w:hAnsi="Times New Roman" w:cs="Times New Roman"/>
          <w:sz w:val="24"/>
          <w:szCs w:val="24"/>
        </w:rPr>
        <w:t>, entre otras.</w:t>
      </w:r>
    </w:p>
    <w:p w14:paraId="73128B6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 compra masiva de acciones fue considerada por algunos autores como una adquisición agresiva, pues dio como resultado el control de cada una de estas empresas; de igual manera, históricamente se ha reconocido que el principal motivo que dio origen a este grupo fue conservar y proteger la tradición Paisa la cual era reconocida como impulsadora económica nacional, no obstante, se prevé también una motivación económica, tal como lo menciona Londoño (2004) donde plantea que hubo otro factor clave que impulsó los intentos de adquisiciones hostiles de las empresas antioqueñas: la considerable cantidad de capital que estas habían acumulado a lo largo de los años, que no se reflejaba en el valor de sus acciones. Esta situación facilitaba el pago de precios más altos por las acciones y generaba significativos beneficios financieros para quienes las adquirían.</w:t>
      </w:r>
    </w:p>
    <w:p w14:paraId="297A0598"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 esta manera, se consolida el grupo Empresarial Antioqueño como uno de los grandes enroques nacionales, fundamental para el desarrollo territorial y nacional.</w:t>
      </w:r>
    </w:p>
    <w:p w14:paraId="49356DB6"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Grupo Empresarial Antioqueño (GEA) es un referente emblemático en el ámbito empresarial colombiano. A diferencia de otros conglomerados conocidos en el país, que operan como entidades corporativas específicas, el GEA no tiene una existencia formal como corporación. En esencia, el GEA se refiere a la interconexión de la propiedad entre varios de los principales holdings de Antioquia (Mejía, 2021).</w:t>
      </w:r>
    </w:p>
    <w:p w14:paraId="21BEC2A0"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la historia empresarial de la familia Gilinski inicia en la década de 1920, en donde arribó al país un grupo de inmigrantes judíos que se situaron en Barranquilla, y desarrollaron sus negocios en el Valle del Cauca. Sus primeras compañías fueron Plásticos </w:t>
      </w:r>
      <w:proofErr w:type="spellStart"/>
      <w:r>
        <w:rPr>
          <w:rFonts w:ascii="Times New Roman" w:eastAsia="Times New Roman" w:hAnsi="Times New Roman" w:cs="Times New Roman"/>
          <w:sz w:val="24"/>
          <w:szCs w:val="24"/>
        </w:rPr>
        <w:t>Rimax</w:t>
      </w:r>
      <w:proofErr w:type="spellEnd"/>
      <w:r>
        <w:rPr>
          <w:rFonts w:ascii="Times New Roman" w:eastAsia="Times New Roman" w:hAnsi="Times New Roman" w:cs="Times New Roman"/>
          <w:sz w:val="24"/>
          <w:szCs w:val="24"/>
        </w:rPr>
        <w:t xml:space="preserve">, Productos Yupi y Bon </w:t>
      </w:r>
      <w:proofErr w:type="spellStart"/>
      <w:r>
        <w:rPr>
          <w:rFonts w:ascii="Times New Roman" w:eastAsia="Times New Roman" w:hAnsi="Times New Roman" w:cs="Times New Roman"/>
          <w:sz w:val="24"/>
          <w:szCs w:val="24"/>
        </w:rPr>
        <w:t>Bril</w:t>
      </w:r>
      <w:proofErr w:type="spellEnd"/>
      <w:r>
        <w:rPr>
          <w:rFonts w:ascii="Times New Roman" w:eastAsia="Times New Roman" w:hAnsi="Times New Roman" w:cs="Times New Roman"/>
          <w:sz w:val="24"/>
          <w:szCs w:val="24"/>
        </w:rPr>
        <w:t>, con las cuales se abrieron paso en distintos mercados y sectores industriales.</w:t>
      </w:r>
    </w:p>
    <w:p w14:paraId="2E3D2FFE"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Actualmente, el conglomerado de empresas quedó a cargo de Jaime Gilinski, quien cuenta con estudios en administración de negocios de grandes universidades americanas, bajo su mando, el grupo Gilinski incursionó en la banca y el sector financiero (Galindo, 2021).</w:t>
      </w:r>
    </w:p>
    <w:p w14:paraId="7C67022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historia entre estos dos grandes grupos empresariales empieza hace 27 años, en 1997, cuando se dio a conocer lo que se llamó ‘el negocio del siglo’.</w:t>
      </w:r>
    </w:p>
    <w:p w14:paraId="16C9AA8C"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este, los Gilinski aceptaron vender el 51 % del Banco de Colombia por un monto de US $418 millones. Para aquel entonces este banco era el segundo mayor prestamista del país, creado, consolidado y promovido por el Grupo Gilinski, y el adquirente fue el Banco Industrial de Colombia (BIC), presidido por el antioqueño Jorge Londoño Saldarriaga, quien concretó el traspaso con Isaac y Jaime Gilinski, padre e hijo y propietarios de la firma adquirida.</w:t>
      </w:r>
    </w:p>
    <w:p w14:paraId="51A06864"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Según los archivos de El Colombiano, este movimiento dio origen a lo que hoy es Bancolombia</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pero una vez se cerró la negociación hubo discordias y hasta un pleito jurídico de por medio, que dejó al sindicato Antioqueño -Ahora, GEA- como controlante del Banco más importante del País (Vargas, 2021).</w:t>
      </w:r>
    </w:p>
    <w:p w14:paraId="11D1B2A0" w14:textId="6DDB1AE1"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como se mencionó anteriormente el GEA está compuesto por diferentes grandes </w:t>
      </w:r>
      <w:r w:rsidR="00311125">
        <w:rPr>
          <w:rFonts w:ascii="Times New Roman" w:eastAsia="Times New Roman" w:hAnsi="Times New Roman" w:cs="Times New Roman"/>
          <w:sz w:val="24"/>
          <w:szCs w:val="24"/>
        </w:rPr>
        <w:t>empresas,</w:t>
      </w:r>
      <w:r>
        <w:rPr>
          <w:rFonts w:ascii="Times New Roman" w:eastAsia="Times New Roman" w:hAnsi="Times New Roman" w:cs="Times New Roman"/>
          <w:sz w:val="24"/>
          <w:szCs w:val="24"/>
        </w:rPr>
        <w:t xml:space="preserve"> pero una de las más llamativas y que abarca gran parte del mercado colombiano es Nutresa, actualmente como lo menciona (Rodríguez, 2024) Nutresa opera en 18 países y dispone de una red de distribución que comprende 47 plantas de producción, principalmente en Colombia, pero también en economías como Chile, Perú, Estados Unidos y varios países de Centroamérica. Desde estas instalaciones, se elaboran productos que se envían a más de 82 países, lo cual a final de cuentas resulta como una empresa llamativa para cualquier empresario interesado en el control o en el sector.</w:t>
      </w:r>
    </w:p>
    <w:p w14:paraId="34BE65FD" w14:textId="36B1DC6A" w:rsidR="006B1C7A" w:rsidRDefault="00311125" w:rsidP="00BA0FB0">
      <w:pPr>
        <w:pStyle w:val="Ttulo2"/>
      </w:pPr>
      <w:bookmarkStart w:id="23" w:name="_Toc189565336"/>
      <w:r>
        <w:t>2.3 Desarrollo de las OPAS</w:t>
      </w:r>
      <w:bookmarkEnd w:id="23"/>
    </w:p>
    <w:p w14:paraId="075B67CA"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Estas ofertas estuvieron enmarcadas en un lapso que abarca entre el 10 de noviembre de 2021 hasta el mes de abril de 2024, ahora bien, para comenzar la primera OPA fue lanzada el 10 de noviembre de 2021, según Botero (2022) en esta se propuso un precio de 7,71 dólares por acción para Nutresa, con el objetivo de adquirir entre el 50,1 % y el 62,6 % de las acciones. Este precio representaba aproximadamente un 37 % más que el valor de la acción en ese momento en el mercado.</w:t>
      </w:r>
    </w:p>
    <w:p w14:paraId="58A971CB"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Después del lanzamiento de la primera OPA por Nutresa, tal como lo menciona (Universidad </w:t>
      </w:r>
      <w:proofErr w:type="spellStart"/>
      <w:r>
        <w:rPr>
          <w:rFonts w:ascii="Times New Roman" w:eastAsia="Times New Roman" w:hAnsi="Times New Roman" w:cs="Times New Roman"/>
          <w:sz w:val="24"/>
          <w:szCs w:val="24"/>
        </w:rPr>
        <w:t>EIA</w:t>
      </w:r>
      <w:proofErr w:type="spellEnd"/>
      <w:r>
        <w:rPr>
          <w:rFonts w:ascii="Times New Roman" w:eastAsia="Times New Roman" w:hAnsi="Times New Roman" w:cs="Times New Roman"/>
          <w:sz w:val="24"/>
          <w:szCs w:val="24"/>
        </w:rPr>
        <w:t>, 2022) Gilinski solo logró adquirir el 27,7 % de las acciones, lo que indica que no alcanzó el objetivo inicialmente propuesto. Esta situación llevó a la decisión de continuar con otra oferta adicional.</w:t>
      </w:r>
    </w:p>
    <w:p w14:paraId="777F6889"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segunda OPA lanzada dio lugar el 17 de enero de 2022 como lo menciona (Botero, 2022) Gilinski lanzó una segunda OPA, ofreciendo un nuevo precio de 10,48 dólares por acción con el objetivo de adquirir hasta un 18,3 % adicional de las acciones de Nutresa. Sin embargo, esta oferta solo resultó en la compra de un 3,31 % más de acciones. Al concluir la segunda OPA, Gilinski logró incrementar su participación total en Nutresa al 30,8 %, lo que evidencia las dificultades que enfrentó para alcanzar sus metas de adquisición en un mercado tan competitivo (Botero, 2022).</w:t>
      </w:r>
    </w:p>
    <w:p w14:paraId="6DDA5045"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pesar de no cumplir completamente sus objetivos, esta segunda oferta reflejó su persistente interés en la empresa y su estrategia para consolidar una mayor influencia en el sector de alimentos colombiano. Con esto, se dio inicio a la tercera OPA, que, según (la República, 2022) tenía como objetivo adquirir entre el 9,6 % y el 12 % del total de acciones en circulación, lo que equivale a entre 43,9 millones y 54,9 millones de acciones. El precio ofrecido por cada título era de 12,58 dólares, lo que representa un incremento del 20 % respecto a la segunda OPA y un aumento del 63,1 % en comparación con la primera (Morales, 2022).</w:t>
      </w:r>
    </w:p>
    <w:p w14:paraId="6B4654AF" w14:textId="520BA5A0" w:rsidR="006B1C7A" w:rsidRDefault="00000000">
      <w:pPr>
        <w:spacing w:before="240" w:after="240" w:line="360" w:lineRule="auto"/>
        <w:ind w:firstLine="720"/>
        <w:rPr>
          <w:rFonts w:ascii="Times New Roman" w:eastAsia="Times New Roman" w:hAnsi="Times New Roman" w:cs="Times New Roman"/>
          <w:color w:val="1155CC"/>
          <w:sz w:val="24"/>
          <w:szCs w:val="24"/>
          <w:u w:val="single"/>
        </w:rPr>
      </w:pPr>
      <w:r>
        <w:rPr>
          <w:rFonts w:ascii="Times New Roman" w:eastAsia="Times New Roman" w:hAnsi="Times New Roman" w:cs="Times New Roman"/>
          <w:sz w:val="24"/>
          <w:szCs w:val="24"/>
        </w:rPr>
        <w:t xml:space="preserve">Con la tercera OPA no se lograron los objetivos esperados, como lo menciona (La </w:t>
      </w:r>
      <w:r w:rsidR="00311125">
        <w:rPr>
          <w:rFonts w:ascii="Times New Roman" w:eastAsia="Times New Roman" w:hAnsi="Times New Roman" w:cs="Times New Roman"/>
          <w:sz w:val="24"/>
          <w:szCs w:val="24"/>
        </w:rPr>
        <w:t>República</w:t>
      </w:r>
      <w:r>
        <w:rPr>
          <w:rFonts w:ascii="Times New Roman" w:eastAsia="Times New Roman" w:hAnsi="Times New Roman" w:cs="Times New Roman"/>
          <w:sz w:val="24"/>
          <w:szCs w:val="24"/>
        </w:rPr>
        <w:t>, 2022) la Bolsa de Valores de Colombia (BVC) declaró la OPA desierta al no alcanzar el número mínimo de acciones requeridas. En el último día de aceptación, únicamente 136 accionistas optaron por vender 756,375 acciones, lo que representó el 1,38 % del total que se pretendía adquirir. En total, el desarrollo de esta oferta resultó en la entrega de 3,26 millones de acciones por parte de los copropietarios (Morales, 2022).</w:t>
      </w:r>
      <w:hyperlink r:id="rId16">
        <w:r w:rsidR="006B1C7A">
          <w:rPr>
            <w:rFonts w:ascii="Times New Roman" w:eastAsia="Times New Roman" w:hAnsi="Times New Roman" w:cs="Times New Roman"/>
            <w:sz w:val="24"/>
            <w:szCs w:val="24"/>
          </w:rPr>
          <w:t xml:space="preserve"> </w:t>
        </w:r>
      </w:hyperlink>
      <w:r>
        <w:rPr>
          <w:rFonts w:ascii="Times New Roman" w:eastAsia="Times New Roman" w:hAnsi="Times New Roman" w:cs="Times New Roman"/>
          <w:color w:val="1155CC"/>
          <w:sz w:val="24"/>
          <w:szCs w:val="24"/>
          <w:u w:val="single"/>
        </w:rPr>
        <w:t xml:space="preserve"> </w:t>
      </w:r>
    </w:p>
    <w:p w14:paraId="042BB3E4"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Luego de esto se dio el lanzamiento de la cuarta OPA por Nutresa, según lo menciona Infobae (2022) International Holding Company (</w:t>
      </w:r>
      <w:proofErr w:type="spellStart"/>
      <w:r>
        <w:rPr>
          <w:rFonts w:ascii="Times New Roman" w:eastAsia="Times New Roman" w:hAnsi="Times New Roman" w:cs="Times New Roman"/>
          <w:sz w:val="24"/>
          <w:szCs w:val="24"/>
        </w:rPr>
        <w:t>IHC</w:t>
      </w:r>
      <w:proofErr w:type="spellEnd"/>
      <w:r>
        <w:rPr>
          <w:rFonts w:ascii="Times New Roman" w:eastAsia="Times New Roman" w:hAnsi="Times New Roman" w:cs="Times New Roman"/>
          <w:sz w:val="24"/>
          <w:szCs w:val="24"/>
        </w:rPr>
        <w:t>) de Emiratos Árabes Unidos tenía la intención de adquirir entre el 25 % y el 31,2 % de las acciones de Grupo Nutresa, ofreciendo un precio de 15 dólares por acción.  Para ese momento, según Morales (2022) la cuarta OPA es un 94,6 % superior a la primera ofrecida por Gilinski, un 43,1 % más alta que la segunda, y un 23,5 % superior a la tercera.</w:t>
      </w:r>
    </w:p>
    <w:p w14:paraId="1BA0DE1D"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Sin embargo, el 18 de noviembre, la Bolsa de Valores de Colombia anunció la declaración de desierta de la OPA debido a que no se logró obtener un número suficiente de accionistas dispuestos a vender sus participaciones. Además de esto se menciona (Infobae, 2022) que los accionistas lograron reunir solo un 7,71 % del total de acciones requeridas para la OPA, dado que esta cifra era significativamente inferior a la meta establecida, </w:t>
      </w:r>
      <w:proofErr w:type="spellStart"/>
      <w:r>
        <w:rPr>
          <w:rFonts w:ascii="Times New Roman" w:eastAsia="Times New Roman" w:hAnsi="Times New Roman" w:cs="Times New Roman"/>
          <w:sz w:val="24"/>
          <w:szCs w:val="24"/>
        </w:rPr>
        <w:t>IHC</w:t>
      </w:r>
      <w:proofErr w:type="spellEnd"/>
      <w:r>
        <w:rPr>
          <w:rFonts w:ascii="Times New Roman" w:eastAsia="Times New Roman" w:hAnsi="Times New Roman" w:cs="Times New Roman"/>
          <w:sz w:val="24"/>
          <w:szCs w:val="24"/>
        </w:rPr>
        <w:t xml:space="preserve"> optó por no llevar a cabo el cierre de la compra. </w:t>
      </w:r>
    </w:p>
    <w:p w14:paraId="0575BF6D"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finalizar el año 2022,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lanzadas por Gilinski e </w:t>
      </w:r>
      <w:proofErr w:type="spellStart"/>
      <w:r>
        <w:rPr>
          <w:rFonts w:ascii="Times New Roman" w:eastAsia="Times New Roman" w:hAnsi="Times New Roman" w:cs="Times New Roman"/>
          <w:sz w:val="24"/>
          <w:szCs w:val="24"/>
        </w:rPr>
        <w:t>IHC</w:t>
      </w:r>
      <w:proofErr w:type="spellEnd"/>
      <w:r>
        <w:rPr>
          <w:rFonts w:ascii="Times New Roman" w:eastAsia="Times New Roman" w:hAnsi="Times New Roman" w:cs="Times New Roman"/>
          <w:sz w:val="24"/>
          <w:szCs w:val="24"/>
        </w:rPr>
        <w:t xml:space="preserve">, dos habían sido declaradas desiertas. Sin embargo, como lo menciona Cajamarca (2022) Gilinski ya se había consolidado como el segundo mayor accionista de Nutresa, logrando así su objetivo de formar parte de la junta directiva, lo cual era una de sus metas clave. </w:t>
      </w:r>
    </w:p>
    <w:p w14:paraId="113D779E" w14:textId="1118C408"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el año 2024, su influencia en la compañía se había fortalecido considerablemente, por lo cual se dio el lanzamiento de la quinta OPA la cual según lo menciona Botero (2024</w:t>
      </w:r>
      <w:r w:rsidR="00311125">
        <w:rPr>
          <w:rFonts w:ascii="Times New Roman" w:eastAsia="Times New Roman" w:hAnsi="Times New Roman" w:cs="Times New Roman"/>
          <w:sz w:val="24"/>
          <w:szCs w:val="24"/>
        </w:rPr>
        <w:t>) abarcó</w:t>
      </w:r>
      <w:r>
        <w:rPr>
          <w:rFonts w:ascii="Times New Roman" w:eastAsia="Times New Roman" w:hAnsi="Times New Roman" w:cs="Times New Roman"/>
          <w:sz w:val="24"/>
          <w:szCs w:val="24"/>
        </w:rPr>
        <w:t xml:space="preserve"> el 23,1 % de las acciones de Grupo Nutresa, con un precio establecido de 12 dólares por acción. En este acuerdo, se determinó que Grupo Argos y Grupo Sura tomarían hasta el 10,1 % de las acciones, mientras que </w:t>
      </w:r>
      <w:proofErr w:type="spellStart"/>
      <w:r>
        <w:rPr>
          <w:rFonts w:ascii="Times New Roman" w:eastAsia="Times New Roman" w:hAnsi="Times New Roman" w:cs="Times New Roman"/>
          <w:sz w:val="24"/>
          <w:szCs w:val="24"/>
        </w:rPr>
        <w:t>JGDB</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Nugil</w:t>
      </w:r>
      <w:proofErr w:type="spellEnd"/>
      <w:r>
        <w:rPr>
          <w:rFonts w:ascii="Times New Roman" w:eastAsia="Times New Roman" w:hAnsi="Times New Roman" w:cs="Times New Roman"/>
          <w:sz w:val="24"/>
          <w:szCs w:val="24"/>
        </w:rPr>
        <w:t>, pertenecientes a Gilinski, obtendrían el 13 %. Al concluir la OPA, se recibieron ofertas que representaron el 97,34 % de lo solicitado, resultando en la compra de 105 millones de acciones.</w:t>
      </w:r>
    </w:p>
    <w:p w14:paraId="7E2292A8" w14:textId="77777777" w:rsidR="006B1C7A" w:rsidRDefault="00000000" w:rsidP="00BA0FB0">
      <w:pPr>
        <w:pStyle w:val="Ttulo2"/>
      </w:pPr>
      <w:bookmarkStart w:id="24" w:name="_Toc189565337"/>
      <w:r>
        <w:t>2.4 Actualidad del conflicto empresarial.</w:t>
      </w:r>
      <w:bookmarkEnd w:id="24"/>
    </w:p>
    <w:p w14:paraId="0F6121F5"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 base a lo anterior, las estrategias implementadas por el Grupo Gilinski respaldados por el holding extranjero permitieron que estos alcanzaran el 99,3% del control de Nutresa a través de las OPAS emitidas (Mercado, 2024).</w:t>
      </w:r>
    </w:p>
    <w:p w14:paraId="1C606F46" w14:textId="77777777" w:rsidR="006B1C7A" w:rsidRDefault="006B1C7A">
      <w:pPr>
        <w:spacing w:line="360" w:lineRule="auto"/>
        <w:ind w:firstLine="720"/>
        <w:rPr>
          <w:rFonts w:ascii="Times New Roman" w:eastAsia="Times New Roman" w:hAnsi="Times New Roman" w:cs="Times New Roman"/>
          <w:sz w:val="24"/>
          <w:szCs w:val="24"/>
        </w:rPr>
      </w:pPr>
    </w:p>
    <w:p w14:paraId="3A999DE8" w14:textId="701E9705"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el anterior hecho económico que se presenta a inicios del año 2024 surge como resultado de varias iniciativas impulsadas por los grupos mencionados y por agentes políticos, ya que, la administración y gestión de las empresas podría verse perjudicada por el cambio de propietarios, los cuales al estipular un acuerdo común entre ellos dificulta la toma de decisiones y la maximización del beneficio de </w:t>
      </w:r>
      <w:r w:rsidR="00311125">
        <w:rPr>
          <w:rFonts w:ascii="Times New Roman" w:eastAsia="Times New Roman" w:hAnsi="Times New Roman" w:cs="Times New Roman"/>
          <w:sz w:val="24"/>
          <w:szCs w:val="24"/>
        </w:rPr>
        <w:t>estos</w:t>
      </w:r>
      <w:r>
        <w:rPr>
          <w:rFonts w:ascii="Times New Roman" w:eastAsia="Times New Roman" w:hAnsi="Times New Roman" w:cs="Times New Roman"/>
          <w:sz w:val="24"/>
          <w:szCs w:val="24"/>
        </w:rPr>
        <w:t xml:space="preserve"> la cual estará gestionada por cada junta directiva (La República, 2024).</w:t>
      </w:r>
    </w:p>
    <w:p w14:paraId="324BA014" w14:textId="77777777" w:rsidR="006B1C7A" w:rsidRDefault="006B1C7A">
      <w:pPr>
        <w:spacing w:line="360" w:lineRule="auto"/>
        <w:ind w:firstLine="720"/>
        <w:rPr>
          <w:rFonts w:ascii="Times New Roman" w:eastAsia="Times New Roman" w:hAnsi="Times New Roman" w:cs="Times New Roman"/>
          <w:sz w:val="24"/>
          <w:szCs w:val="24"/>
        </w:rPr>
      </w:pPr>
    </w:p>
    <w:p w14:paraId="1A48EE18"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primer acercamiento oficial entre los dos grupos se da a finales de mayo de 2023, en lo que se conoció como el Acuerdo de Madrid o el Memorando de Entendimiento, en este los representantes del Grupo Empresarial Antioqueño y el Grupo Gilinski se reúnen en el país vasco para concretar una serie de acuerdos en las cuales cada grupo cumpliría una serie de peticiones establecidas por el contrario y de esta manera darían fin al enfrentamiento accionario iniciado 19 meses atrás.</w:t>
      </w:r>
    </w:p>
    <w:p w14:paraId="7AE2C57D"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Memorando de Entendimiento (MOU) que se ejecutó de manera hermética señalaba que el GEA entregaría el control de al menos el 87% de las acciones de Nutresa y a su vez, el Grupo Gilinski se compromete a restituir el 40,5% de las acciones del Grupo Sura al GEA. No obstante, para llevar a cabo estas transacciones, se requerirá la obtención de las autorizaciones necesarias, pues hasta la fecha había varios procedimientos judiciales alrededor de las OPAS y no se contaba con regulaciones financieras que garantizaran que esta transacción accionaria se diera de manera exitosa.</w:t>
      </w:r>
    </w:p>
    <w:p w14:paraId="68BF4425"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bien aún había varios elementos que necesitan aclararse sobre la mecánica de las desinversiones y los precios a los que se realizaron, tal fue la percepción de que la confrontación entre las partes podría estar superándose que días previos a la reunión final en el país español, la Bolsa de Valores Colombiana decide suspender las negociaciones de las acciones de Sura (Portafolio, 2023). </w:t>
      </w:r>
    </w:p>
    <w:p w14:paraId="0CA62379"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orden de ideas, se oficializa meses después la emisión del </w:t>
      </w:r>
      <w:hyperlink r:id="rId17">
        <w:r w:rsidR="006B1C7A">
          <w:rPr>
            <w:rFonts w:ascii="Times New Roman" w:eastAsia="Times New Roman" w:hAnsi="Times New Roman" w:cs="Times New Roman"/>
            <w:sz w:val="24"/>
            <w:szCs w:val="24"/>
          </w:rPr>
          <w:t>Decreto 0079 de 2024</w:t>
        </w:r>
      </w:hyperlink>
      <w:r>
        <w:rPr>
          <w:rFonts w:ascii="Times New Roman" w:eastAsia="Times New Roman" w:hAnsi="Times New Roman" w:cs="Times New Roman"/>
          <w:sz w:val="24"/>
          <w:szCs w:val="24"/>
        </w:rPr>
        <w:t xml:space="preserve"> que modifica el Decreto 2555 de 2010 en lo relacionado con las excepciones a la realización de la OPA en el cual interviene el gobierno central representado por el Presidente de la República, con este Decreto se busca facilitar mecanismos transaccionales complementarios, especialmente en lo que respecta a las operaciones de intercambio de acciones entre accionistas con influencia significativa en emisores del mercado de valores colombiano, y con la intención de proteger a los accionistas minoritarios asegurando un trato equitativo en estas transacciones.</w:t>
      </w:r>
    </w:p>
    <w:p w14:paraId="5CAB9F3D" w14:textId="77777777" w:rsidR="006B1C7A" w:rsidRDefault="006B1C7A">
      <w:pPr>
        <w:spacing w:line="360" w:lineRule="auto"/>
        <w:ind w:firstLine="720"/>
        <w:rPr>
          <w:rFonts w:ascii="Times New Roman" w:eastAsia="Times New Roman" w:hAnsi="Times New Roman" w:cs="Times New Roman"/>
          <w:sz w:val="24"/>
          <w:szCs w:val="24"/>
        </w:rPr>
      </w:pPr>
    </w:p>
    <w:p w14:paraId="3F08CF89"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mencionar que, según declaraciones del mandatario realizadas después de sostener una reunión con los representantes de los grupos económicos implicados, con este Decreto busca además de consolidar el capital extranjero para expandir la compañía a nuevos mercados donde actualmente no tiene presencia, que se priorice la ampliación productiva </w:t>
      </w:r>
      <w:r>
        <w:rPr>
          <w:rFonts w:ascii="Times New Roman" w:eastAsia="Times New Roman" w:hAnsi="Times New Roman" w:cs="Times New Roman"/>
          <w:sz w:val="24"/>
          <w:szCs w:val="24"/>
        </w:rPr>
        <w:lastRenderedPageBreak/>
        <w:t>colombiana especialmente en aquellas zonas en las cuales el progreso ha sido menos exponencial, convirtiendo economías ilegales en economías legales.</w:t>
      </w:r>
    </w:p>
    <w:p w14:paraId="500E9595" w14:textId="77777777" w:rsidR="006B1C7A" w:rsidRDefault="006B1C7A">
      <w:pPr>
        <w:spacing w:line="360" w:lineRule="auto"/>
        <w:ind w:firstLine="720"/>
        <w:rPr>
          <w:rFonts w:ascii="Times New Roman" w:eastAsia="Times New Roman" w:hAnsi="Times New Roman" w:cs="Times New Roman"/>
          <w:sz w:val="24"/>
          <w:szCs w:val="24"/>
        </w:rPr>
      </w:pPr>
    </w:p>
    <w:p w14:paraId="5A8D54A9"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w:t>
      </w:r>
      <w:proofErr w:type="gramStart"/>
      <w:r>
        <w:rPr>
          <w:rFonts w:ascii="Times New Roman" w:eastAsia="Times New Roman" w:hAnsi="Times New Roman" w:cs="Times New Roman"/>
          <w:sz w:val="24"/>
          <w:szCs w:val="24"/>
        </w:rPr>
        <w:t>Presidente</w:t>
      </w:r>
      <w:proofErr w:type="gramEnd"/>
      <w:r>
        <w:rPr>
          <w:rFonts w:ascii="Times New Roman" w:eastAsia="Times New Roman" w:hAnsi="Times New Roman" w:cs="Times New Roman"/>
          <w:sz w:val="24"/>
          <w:szCs w:val="24"/>
        </w:rPr>
        <w:t xml:space="preserve"> destacó que este nuevo acuerdo “no sólo suspende un conflicto, sino que también establece mejores condiciones de estabilidad para los capitales extranjeros que se han asociado con estos grupos nacionales, lo que podría impulsar una expansión de la plataforma productiva en toda Colombia. Este enfoque debe incluir no sólo el ámbito empresarial, sino también el sector campesino, obrero, juvenil y de las regiones excluidas, promoviendo una economía popular y buscando horizontes comunes” (Morales, 2024).</w:t>
      </w:r>
    </w:p>
    <w:p w14:paraId="7AF5C7EF" w14:textId="77777777" w:rsidR="006B1C7A" w:rsidRDefault="006B1C7A">
      <w:pPr>
        <w:spacing w:line="360" w:lineRule="auto"/>
        <w:rPr>
          <w:rFonts w:ascii="Times New Roman" w:eastAsia="Times New Roman" w:hAnsi="Times New Roman" w:cs="Times New Roman"/>
          <w:sz w:val="24"/>
          <w:szCs w:val="24"/>
        </w:rPr>
      </w:pPr>
    </w:p>
    <w:p w14:paraId="42041548" w14:textId="2031B783" w:rsidR="006B1C7A" w:rsidRDefault="00000000" w:rsidP="00311125">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Posterior a los acontecimientos previamente expuestos, se inicia la permuta de acciones, en este momento la estructura </w:t>
      </w:r>
      <w:proofErr w:type="spellStart"/>
      <w:r w:rsidR="00311125">
        <w:rPr>
          <w:rFonts w:ascii="Times New Roman" w:eastAsia="Times New Roman" w:hAnsi="Times New Roman" w:cs="Times New Roman"/>
          <w:sz w:val="24"/>
          <w:szCs w:val="24"/>
        </w:rPr>
        <w:t>accionaria</w:t>
      </w:r>
      <w:proofErr w:type="spellEnd"/>
      <w:r w:rsidR="0031112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 las empresas participantes en el Acuerdo de Madrid, se encontraban de la siguiente manera:</w:t>
      </w:r>
    </w:p>
    <w:p w14:paraId="2C802815" w14:textId="13B98E89" w:rsidR="00BA0FB0" w:rsidRPr="00BA0FB0" w:rsidRDefault="00BA0FB0" w:rsidP="00BA0FB0">
      <w:pPr>
        <w:pStyle w:val="Descripcin"/>
        <w:keepNext/>
        <w:jc w:val="center"/>
        <w:rPr>
          <w:rFonts w:ascii="Times New Roman" w:hAnsi="Times New Roman" w:cs="Times New Roman"/>
          <w:color w:val="000000" w:themeColor="text1"/>
        </w:rPr>
      </w:pPr>
      <w:bookmarkStart w:id="25" w:name="_Toc189565316"/>
      <w:r w:rsidRPr="00BA0FB0">
        <w:rPr>
          <w:rFonts w:ascii="Times New Roman" w:hAnsi="Times New Roman" w:cs="Times New Roman"/>
          <w:color w:val="000000" w:themeColor="text1"/>
        </w:rPr>
        <w:t xml:space="preserve">Ilustración </w:t>
      </w:r>
      <w:r w:rsidRPr="00BA0FB0">
        <w:rPr>
          <w:rFonts w:ascii="Times New Roman" w:hAnsi="Times New Roman" w:cs="Times New Roman"/>
          <w:color w:val="000000" w:themeColor="text1"/>
        </w:rPr>
        <w:fldChar w:fldCharType="begin"/>
      </w:r>
      <w:r w:rsidRPr="00BA0FB0">
        <w:rPr>
          <w:rFonts w:ascii="Times New Roman" w:hAnsi="Times New Roman" w:cs="Times New Roman"/>
          <w:color w:val="000000" w:themeColor="text1"/>
        </w:rPr>
        <w:instrText xml:space="preserve"> SEQ Ilustración \* ARABIC </w:instrText>
      </w:r>
      <w:r w:rsidRPr="00BA0FB0">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BA0FB0">
        <w:rPr>
          <w:rFonts w:ascii="Times New Roman" w:hAnsi="Times New Roman" w:cs="Times New Roman"/>
          <w:color w:val="000000" w:themeColor="text1"/>
        </w:rPr>
        <w:fldChar w:fldCharType="end"/>
      </w:r>
      <w:r w:rsidRPr="00BA0FB0">
        <w:rPr>
          <w:rFonts w:ascii="Times New Roman" w:hAnsi="Times New Roman" w:cs="Times New Roman"/>
          <w:color w:val="000000" w:themeColor="text1"/>
        </w:rPr>
        <w:t>Composición accionaria Nutresa S.A.</w:t>
      </w:r>
      <w:bookmarkEnd w:id="25"/>
    </w:p>
    <w:p w14:paraId="7B3A5F14" w14:textId="77777777" w:rsidR="006B1C7A" w:rsidRDefault="00000000">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E95692C" wp14:editId="44F0AD9A">
            <wp:extent cx="3727347" cy="223978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3727347" cy="2239789"/>
                    </a:xfrm>
                    <a:prstGeom prst="rect">
                      <a:avLst/>
                    </a:prstGeom>
                    <a:ln/>
                  </pic:spPr>
                </pic:pic>
              </a:graphicData>
            </a:graphic>
          </wp:inline>
        </w:drawing>
      </w:r>
    </w:p>
    <w:p w14:paraId="095E7762" w14:textId="77777777" w:rsidR="006B1C7A" w:rsidRDefault="00000000">
      <w:pPr>
        <w:spacing w:line="360" w:lineRule="auto"/>
        <w:ind w:firstLine="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Fuente: elaboración propia</w:t>
      </w:r>
    </w:p>
    <w:p w14:paraId="08169A7C" w14:textId="77777777" w:rsidR="006B1C7A" w:rsidRDefault="006B1C7A">
      <w:pPr>
        <w:spacing w:line="360" w:lineRule="auto"/>
        <w:ind w:firstLine="720"/>
        <w:rPr>
          <w:rFonts w:ascii="Times New Roman" w:eastAsia="Times New Roman" w:hAnsi="Times New Roman" w:cs="Times New Roman"/>
          <w:i/>
          <w:sz w:val="24"/>
          <w:szCs w:val="24"/>
        </w:rPr>
      </w:pPr>
    </w:p>
    <w:p w14:paraId="0537FB0F" w14:textId="0726AFF0" w:rsidR="00BA0FB0" w:rsidRPr="00BA0FB0" w:rsidRDefault="00BA0FB0" w:rsidP="00BA0FB0">
      <w:pPr>
        <w:pStyle w:val="Descripcin"/>
        <w:keepNext/>
        <w:jc w:val="center"/>
        <w:rPr>
          <w:rFonts w:ascii="Times New Roman" w:hAnsi="Times New Roman" w:cs="Times New Roman"/>
          <w:color w:val="000000" w:themeColor="text1"/>
        </w:rPr>
      </w:pPr>
      <w:bookmarkStart w:id="26" w:name="_Toc189565317"/>
      <w:r w:rsidRPr="00BA0FB0">
        <w:rPr>
          <w:rFonts w:ascii="Times New Roman" w:hAnsi="Times New Roman" w:cs="Times New Roman"/>
          <w:color w:val="000000" w:themeColor="text1"/>
        </w:rPr>
        <w:lastRenderedPageBreak/>
        <w:t xml:space="preserve">Ilustración </w:t>
      </w:r>
      <w:r w:rsidRPr="00BA0FB0">
        <w:rPr>
          <w:rFonts w:ascii="Times New Roman" w:hAnsi="Times New Roman" w:cs="Times New Roman"/>
          <w:color w:val="000000" w:themeColor="text1"/>
        </w:rPr>
        <w:fldChar w:fldCharType="begin"/>
      </w:r>
      <w:r w:rsidRPr="00BA0FB0">
        <w:rPr>
          <w:rFonts w:ascii="Times New Roman" w:hAnsi="Times New Roman" w:cs="Times New Roman"/>
          <w:color w:val="000000" w:themeColor="text1"/>
        </w:rPr>
        <w:instrText xml:space="preserve"> SEQ Ilustración \* ARABIC </w:instrText>
      </w:r>
      <w:r w:rsidRPr="00BA0FB0">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2</w:t>
      </w:r>
      <w:r w:rsidRPr="00BA0FB0">
        <w:rPr>
          <w:rFonts w:ascii="Times New Roman" w:hAnsi="Times New Roman" w:cs="Times New Roman"/>
          <w:color w:val="000000" w:themeColor="text1"/>
        </w:rPr>
        <w:fldChar w:fldCharType="end"/>
      </w:r>
      <w:r w:rsidRPr="00BA0FB0">
        <w:rPr>
          <w:rFonts w:ascii="Times New Roman" w:hAnsi="Times New Roman" w:cs="Times New Roman"/>
          <w:color w:val="000000" w:themeColor="text1"/>
        </w:rPr>
        <w:t xml:space="preserve"> Composición accionaria GRUPO SURA</w:t>
      </w:r>
      <w:bookmarkEnd w:id="26"/>
    </w:p>
    <w:p w14:paraId="0A0393D4" w14:textId="77777777" w:rsidR="006B1C7A" w:rsidRDefault="00000000">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040C715" wp14:editId="30225E2D">
            <wp:extent cx="3759038" cy="2262226"/>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3759038" cy="2262226"/>
                    </a:xfrm>
                    <a:prstGeom prst="rect">
                      <a:avLst/>
                    </a:prstGeom>
                    <a:ln/>
                  </pic:spPr>
                </pic:pic>
              </a:graphicData>
            </a:graphic>
          </wp:inline>
        </w:drawing>
      </w:r>
    </w:p>
    <w:p w14:paraId="464AE842" w14:textId="77777777" w:rsidR="006B1C7A" w:rsidRDefault="00000000">
      <w:pPr>
        <w:spacing w:line="360" w:lineRule="auto"/>
        <w:ind w:firstLine="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Fuente: elaboración propia</w:t>
      </w:r>
    </w:p>
    <w:p w14:paraId="42BD0750" w14:textId="77777777" w:rsidR="006B1C7A" w:rsidRDefault="006B1C7A">
      <w:pPr>
        <w:spacing w:line="360" w:lineRule="auto"/>
        <w:ind w:firstLine="720"/>
        <w:rPr>
          <w:rFonts w:ascii="Times New Roman" w:eastAsia="Times New Roman" w:hAnsi="Times New Roman" w:cs="Times New Roman"/>
          <w:i/>
          <w:sz w:val="24"/>
          <w:szCs w:val="24"/>
        </w:rPr>
      </w:pPr>
    </w:p>
    <w:p w14:paraId="52F8B0C9" w14:textId="78BAD7BE" w:rsidR="006B1C7A" w:rsidRDefault="00000000">
      <w:pPr>
        <w:spacing w:line="360" w:lineRule="auto"/>
        <w:ind w:firstLine="720"/>
        <w:rPr>
          <w:rFonts w:ascii="Times New Roman" w:eastAsia="Times New Roman" w:hAnsi="Times New Roman" w:cs="Times New Roman"/>
          <w:sz w:val="24"/>
          <w:szCs w:val="24"/>
          <w:shd w:val="clear" w:color="auto" w:fill="CFE2F3"/>
        </w:rPr>
      </w:pPr>
      <w:r>
        <w:rPr>
          <w:rFonts w:ascii="Times New Roman" w:eastAsia="Times New Roman" w:hAnsi="Times New Roman" w:cs="Times New Roman"/>
          <w:sz w:val="24"/>
          <w:szCs w:val="24"/>
        </w:rPr>
        <w:t xml:space="preserve">Para llevar a cabo la transacción en un principio fue necesario que la empresa Nutresa tuviera una escisión, en esta la empresa se divide en dos compañías, una de ellas sería Nutresa Alimentos en donde su composición accionaria la encabezó el Grupo Gilinski, la otra compañía por su </w:t>
      </w:r>
      <w:r w:rsidR="00311125">
        <w:rPr>
          <w:rFonts w:ascii="Times New Roman" w:eastAsia="Times New Roman" w:hAnsi="Times New Roman" w:cs="Times New Roman"/>
          <w:sz w:val="24"/>
          <w:szCs w:val="24"/>
        </w:rPr>
        <w:t>parte</w:t>
      </w:r>
      <w:r>
        <w:rPr>
          <w:rFonts w:ascii="Times New Roman" w:eastAsia="Times New Roman" w:hAnsi="Times New Roman" w:cs="Times New Roman"/>
          <w:sz w:val="24"/>
          <w:szCs w:val="24"/>
        </w:rPr>
        <w:t xml:space="preserve"> fue Sociedad Portafolio controlada por el Grupo Sura, el Grupo Argos y </w:t>
      </w:r>
      <w:proofErr w:type="spellStart"/>
      <w:r>
        <w:rPr>
          <w:rFonts w:ascii="Times New Roman" w:eastAsia="Times New Roman" w:hAnsi="Times New Roman" w:cs="Times New Roman"/>
          <w:sz w:val="24"/>
          <w:szCs w:val="24"/>
        </w:rPr>
        <w:t>Nugil</w:t>
      </w:r>
      <w:proofErr w:type="spellEnd"/>
      <w:r>
        <w:rPr>
          <w:rFonts w:ascii="Times New Roman" w:eastAsia="Times New Roman" w:hAnsi="Times New Roman" w:cs="Times New Roman"/>
          <w:sz w:val="24"/>
          <w:szCs w:val="24"/>
        </w:rPr>
        <w:t>.</w:t>
      </w:r>
    </w:p>
    <w:p w14:paraId="692DF8B4" w14:textId="77777777" w:rsidR="006B1C7A" w:rsidRDefault="006B1C7A">
      <w:pPr>
        <w:spacing w:line="360" w:lineRule="auto"/>
        <w:ind w:firstLine="720"/>
        <w:rPr>
          <w:rFonts w:ascii="Times New Roman" w:eastAsia="Times New Roman" w:hAnsi="Times New Roman" w:cs="Times New Roman"/>
          <w:sz w:val="24"/>
          <w:szCs w:val="24"/>
          <w:shd w:val="clear" w:color="auto" w:fill="CFE2F3"/>
        </w:rPr>
      </w:pPr>
    </w:p>
    <w:p w14:paraId="21B6F185" w14:textId="59EDB978" w:rsidR="00BA0FB0" w:rsidRPr="00BA0FB0" w:rsidRDefault="00BA0FB0" w:rsidP="00BA0FB0">
      <w:pPr>
        <w:pStyle w:val="Descripcin"/>
        <w:keepNext/>
        <w:jc w:val="center"/>
        <w:rPr>
          <w:rFonts w:ascii="Times New Roman" w:hAnsi="Times New Roman" w:cs="Times New Roman"/>
          <w:color w:val="000000" w:themeColor="text1"/>
        </w:rPr>
      </w:pPr>
      <w:bookmarkStart w:id="27" w:name="_Toc189565318"/>
      <w:r w:rsidRPr="00BA0FB0">
        <w:rPr>
          <w:rFonts w:ascii="Times New Roman" w:hAnsi="Times New Roman" w:cs="Times New Roman"/>
          <w:color w:val="000000" w:themeColor="text1"/>
        </w:rPr>
        <w:t xml:space="preserve">Ilustración </w:t>
      </w:r>
      <w:r w:rsidRPr="00BA0FB0">
        <w:rPr>
          <w:rFonts w:ascii="Times New Roman" w:hAnsi="Times New Roman" w:cs="Times New Roman"/>
          <w:color w:val="000000" w:themeColor="text1"/>
        </w:rPr>
        <w:fldChar w:fldCharType="begin"/>
      </w:r>
      <w:r w:rsidRPr="00BA0FB0">
        <w:rPr>
          <w:rFonts w:ascii="Times New Roman" w:hAnsi="Times New Roman" w:cs="Times New Roman"/>
          <w:color w:val="000000" w:themeColor="text1"/>
        </w:rPr>
        <w:instrText xml:space="preserve"> SEQ Ilustración \* ARABIC </w:instrText>
      </w:r>
      <w:r w:rsidRPr="00BA0FB0">
        <w:rPr>
          <w:rFonts w:ascii="Times New Roman" w:hAnsi="Times New Roman" w:cs="Times New Roman"/>
          <w:color w:val="000000" w:themeColor="text1"/>
        </w:rPr>
        <w:fldChar w:fldCharType="separate"/>
      </w:r>
      <w:r w:rsidRPr="00BA0FB0">
        <w:rPr>
          <w:rFonts w:ascii="Times New Roman" w:hAnsi="Times New Roman" w:cs="Times New Roman"/>
          <w:noProof/>
          <w:color w:val="000000" w:themeColor="text1"/>
        </w:rPr>
        <w:t>3</w:t>
      </w:r>
      <w:r w:rsidRPr="00BA0FB0">
        <w:rPr>
          <w:rFonts w:ascii="Times New Roman" w:hAnsi="Times New Roman" w:cs="Times New Roman"/>
          <w:color w:val="000000" w:themeColor="text1"/>
        </w:rPr>
        <w:fldChar w:fldCharType="end"/>
      </w:r>
      <w:r w:rsidRPr="00BA0FB0">
        <w:rPr>
          <w:rFonts w:ascii="Times New Roman" w:hAnsi="Times New Roman" w:cs="Times New Roman"/>
          <w:color w:val="000000" w:themeColor="text1"/>
        </w:rPr>
        <w:t xml:space="preserve"> Composición accionaria en la escisión de Nutresa S.A</w:t>
      </w:r>
      <w:bookmarkEnd w:id="27"/>
    </w:p>
    <w:p w14:paraId="23AB0DA0" w14:textId="77777777" w:rsidR="006B1C7A" w:rsidRDefault="00000000">
      <w:pPr>
        <w:spacing w:line="36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3183AD41" wp14:editId="239A6657">
            <wp:extent cx="3883065" cy="2325142"/>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3883065" cy="2325142"/>
                    </a:xfrm>
                    <a:prstGeom prst="rect">
                      <a:avLst/>
                    </a:prstGeom>
                    <a:ln/>
                  </pic:spPr>
                </pic:pic>
              </a:graphicData>
            </a:graphic>
          </wp:inline>
        </w:drawing>
      </w:r>
    </w:p>
    <w:p w14:paraId="74366CBE" w14:textId="77777777" w:rsidR="006B1C7A" w:rsidRDefault="00000000">
      <w:pPr>
        <w:spacing w:line="360" w:lineRule="auto"/>
        <w:ind w:firstLine="720"/>
        <w:rPr>
          <w:rFonts w:ascii="Times New Roman" w:eastAsia="Times New Roman" w:hAnsi="Times New Roman" w:cs="Times New Roman"/>
          <w:i/>
          <w:sz w:val="20"/>
          <w:szCs w:val="20"/>
        </w:rPr>
      </w:pPr>
      <w:r>
        <w:rPr>
          <w:rFonts w:ascii="Times New Roman" w:eastAsia="Times New Roman" w:hAnsi="Times New Roman" w:cs="Times New Roman"/>
          <w:i/>
          <w:sz w:val="20"/>
          <w:szCs w:val="20"/>
        </w:rPr>
        <w:t>Fuente: elaboración propia</w:t>
      </w:r>
    </w:p>
    <w:p w14:paraId="66F6A903" w14:textId="77777777" w:rsidR="006B1C7A" w:rsidRDefault="006B1C7A">
      <w:pPr>
        <w:spacing w:line="360" w:lineRule="auto"/>
        <w:ind w:firstLine="720"/>
        <w:jc w:val="center"/>
        <w:rPr>
          <w:rFonts w:ascii="Times New Roman" w:eastAsia="Times New Roman" w:hAnsi="Times New Roman" w:cs="Times New Roman"/>
          <w:sz w:val="24"/>
          <w:szCs w:val="24"/>
        </w:rPr>
      </w:pPr>
    </w:p>
    <w:p w14:paraId="1FBEB8D3"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de la inscripción de la escritura pública de tal escisión en el Registro Mercantil se inicia con la emisión de las OPAS y el intercambio de acciones (Becerra, 2023).</w:t>
      </w:r>
    </w:p>
    <w:p w14:paraId="72C53D3B"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Después de formalizar la escisión de Nutresa, </w:t>
      </w:r>
      <w:proofErr w:type="spellStart"/>
      <w:r>
        <w:rPr>
          <w:rFonts w:ascii="Times New Roman" w:eastAsia="Times New Roman" w:hAnsi="Times New Roman" w:cs="Times New Roman"/>
          <w:sz w:val="24"/>
          <w:szCs w:val="24"/>
        </w:rPr>
        <w:t>Nugil</w:t>
      </w:r>
      <w:proofErr w:type="spellEnd"/>
      <w:r>
        <w:rPr>
          <w:rFonts w:ascii="Times New Roman" w:eastAsia="Times New Roman" w:hAnsi="Times New Roman" w:cs="Times New Roman"/>
          <w:sz w:val="24"/>
          <w:szCs w:val="24"/>
        </w:rPr>
        <w:t xml:space="preserve"> transfirió al patrimonio autónomo las acciones que recibió de Nueva Sociedad Portafolio. Posteriormente, Sura y Argos lanzaron en conjunto una OPA para todos los accionistas de Nutresa Alimentos, distribuyendo la oferta en un 78 % para Sura y un 22 % para Argos.</w:t>
      </w:r>
    </w:p>
    <w:p w14:paraId="13CB04AF"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accionistas pudieron optar por vender sus acciones de Nutresa Alimentos a un precio de 12 dólares por acción o intercambiarlas por acciones de Sura y Nueva Sociedad Portafolio. Además, las aceptaciones de la OPA que superaron el 10,1 % y llegaron hasta el 23,1 % fueron remuneradas por el Grupo Sura y Argos a los accionistas que participaron, con el correspondiente reembolso a los oferentes por parte de </w:t>
      </w:r>
      <w:proofErr w:type="spellStart"/>
      <w:r>
        <w:rPr>
          <w:rFonts w:ascii="Times New Roman" w:eastAsia="Times New Roman" w:hAnsi="Times New Roman" w:cs="Times New Roman"/>
          <w:sz w:val="24"/>
          <w:szCs w:val="24"/>
        </w:rPr>
        <w:t>IHC</w:t>
      </w:r>
      <w:proofErr w:type="spellEnd"/>
      <w:r>
        <w:rPr>
          <w:rFonts w:ascii="Times New Roman" w:eastAsia="Times New Roman" w:hAnsi="Times New Roman" w:cs="Times New Roman"/>
          <w:sz w:val="24"/>
          <w:szCs w:val="24"/>
        </w:rPr>
        <w:t>, al mismo precio ofrecido.</w:t>
      </w:r>
    </w:p>
    <w:p w14:paraId="6E7F77FA"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continuación, el patrimonio autónomo devolvió las aportaciones realizadas por las diferentes empresas del GEA y Gilinski, lo que resultó en un intercambio de acciones. Como consecuencia de este proceso, el Grupo Gilinski se convirtió en el accionista mayoritario de Nutresa Alimentos, mientras que el Grupo Sura y el Grupo Argos recibieron las acciones de Nueva Sociedad Portafolio y del Grupo Sura que antes pertenecían a </w:t>
      </w:r>
      <w:proofErr w:type="spellStart"/>
      <w:r>
        <w:rPr>
          <w:rFonts w:ascii="Times New Roman" w:eastAsia="Times New Roman" w:hAnsi="Times New Roman" w:cs="Times New Roman"/>
          <w:sz w:val="24"/>
          <w:szCs w:val="24"/>
        </w:rPr>
        <w:t>Nugil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JGDB</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IHC</w:t>
      </w:r>
      <w:proofErr w:type="spellEnd"/>
      <w:r>
        <w:rPr>
          <w:rFonts w:ascii="Times New Roman" w:eastAsia="Times New Roman" w:hAnsi="Times New Roman" w:cs="Times New Roman"/>
          <w:sz w:val="24"/>
          <w:szCs w:val="24"/>
        </w:rPr>
        <w:t>.</w:t>
      </w:r>
    </w:p>
    <w:p w14:paraId="2B2A99D3"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Además, el acuerdo entre el GEA y Gilinski estableció la liquidación de Nueva Sociedad Portafolio, con los siguientes efectos: Sura obtuvo acciones tanto de su propia compañía como del Grupo Argos, y el Grupo Argos recibió acciones de sí mismo y de Sura. Por su parte, los demás accionistas de Nueva Sociedad Portafolio recibieron acciones de Sura y del Grupo Argos, Londoño (2023).</w:t>
      </w:r>
    </w:p>
    <w:p w14:paraId="1C5BEBA0"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 esto y después de dos años el grupo Gilinski logra obtener el control mayoritario del conglomerado de alimentos Nutresa y por su parte, el grupo GEA conserva el control de Grupo Sura, Grupo Argos y Bancolombia.</w:t>
      </w:r>
    </w:p>
    <w:p w14:paraId="0D6B26E7" w14:textId="77777777" w:rsidR="006B1C7A" w:rsidRDefault="006B1C7A">
      <w:pPr>
        <w:spacing w:line="360" w:lineRule="auto"/>
        <w:ind w:firstLine="720"/>
        <w:rPr>
          <w:rFonts w:ascii="Times New Roman" w:eastAsia="Times New Roman" w:hAnsi="Times New Roman" w:cs="Times New Roman"/>
          <w:sz w:val="24"/>
          <w:szCs w:val="24"/>
        </w:rPr>
      </w:pPr>
    </w:p>
    <w:p w14:paraId="62C03439"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obstante, tal situación cambiaría meses después, ya que luego de varias especulaciones alrededor de la gestión y dirección que tendría el Grupo Gilinski sobre la empresa Nutresa, se conoce la intención de estos de vender el 56% del control que poseían en la mencionada empresa, intención que se vio materializada el 22 de julio, en donde </w:t>
      </w:r>
      <w:proofErr w:type="spellStart"/>
      <w:r>
        <w:rPr>
          <w:rFonts w:ascii="Times New Roman" w:eastAsia="Times New Roman" w:hAnsi="Times New Roman" w:cs="Times New Roman"/>
          <w:sz w:val="24"/>
          <w:szCs w:val="24"/>
        </w:rPr>
        <w:t>IHC</w:t>
      </w:r>
      <w:proofErr w:type="spellEnd"/>
      <w:r>
        <w:rPr>
          <w:rFonts w:ascii="Times New Roman" w:eastAsia="Times New Roman" w:hAnsi="Times New Roman" w:cs="Times New Roman"/>
          <w:sz w:val="24"/>
          <w:szCs w:val="24"/>
        </w:rPr>
        <w:t xml:space="preserve"> Capital Holding compra las acciones ofertadas, de esta manera, el grupo Gilinski mantiene menos del 15% del control de Nutresa recibiendo a cambio alrededor de 4.000 millones de pesos (Rodríguez, 2024).</w:t>
      </w:r>
    </w:p>
    <w:p w14:paraId="456208A1" w14:textId="77777777" w:rsidR="00311125" w:rsidRDefault="00311125">
      <w:pPr>
        <w:spacing w:line="360" w:lineRule="auto"/>
        <w:ind w:firstLine="720"/>
        <w:rPr>
          <w:rFonts w:ascii="Times New Roman" w:eastAsia="Times New Roman" w:hAnsi="Times New Roman" w:cs="Times New Roman"/>
          <w:sz w:val="24"/>
          <w:szCs w:val="24"/>
        </w:rPr>
      </w:pPr>
    </w:p>
    <w:p w14:paraId="5BACC1C7" w14:textId="32F3932E"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Es importante mencionar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a pesar de tal cesión de control al grupo árabe, la junta directiva de la empresa de alimentos queda conformada de la siguiente manera, Jaime Gilinski como presidente de la misma, Peter </w:t>
      </w:r>
      <w:proofErr w:type="spellStart"/>
      <w:r>
        <w:rPr>
          <w:rFonts w:ascii="Times New Roman" w:eastAsia="Times New Roman" w:hAnsi="Times New Roman" w:cs="Times New Roman"/>
          <w:sz w:val="24"/>
          <w:szCs w:val="24"/>
        </w:rPr>
        <w:t>Abraam</w:t>
      </w:r>
      <w:proofErr w:type="spellEnd"/>
      <w:r>
        <w:rPr>
          <w:rFonts w:ascii="Times New Roman" w:eastAsia="Times New Roman" w:hAnsi="Times New Roman" w:cs="Times New Roman"/>
          <w:sz w:val="24"/>
          <w:szCs w:val="24"/>
        </w:rPr>
        <w:t xml:space="preserve">, miembro patrimonial, Gabriel Gilinski, miembro independiente, </w:t>
      </w:r>
      <w:proofErr w:type="spellStart"/>
      <w:r>
        <w:rPr>
          <w:rFonts w:ascii="Times New Roman" w:eastAsia="Times New Roman" w:hAnsi="Times New Roman" w:cs="Times New Roman"/>
          <w:sz w:val="24"/>
          <w:szCs w:val="24"/>
        </w:rPr>
        <w:t>Ravi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Thakran</w:t>
      </w:r>
      <w:proofErr w:type="spellEnd"/>
      <w:r>
        <w:rPr>
          <w:rFonts w:ascii="Times New Roman" w:eastAsia="Times New Roman" w:hAnsi="Times New Roman" w:cs="Times New Roman"/>
          <w:sz w:val="24"/>
          <w:szCs w:val="24"/>
        </w:rPr>
        <w:t xml:space="preserve">, miembro independiente y Carlos Ignacio Gallego como miembro ejecutivo. (Grupos Nutresa, </w:t>
      </w:r>
      <w:proofErr w:type="spellStart"/>
      <w:r>
        <w:rPr>
          <w:rFonts w:ascii="Times New Roman" w:eastAsia="Times New Roman" w:hAnsi="Times New Roman" w:cs="Times New Roman"/>
          <w:sz w:val="24"/>
          <w:szCs w:val="24"/>
        </w:rPr>
        <w:t>s.f</w:t>
      </w:r>
      <w:proofErr w:type="spellEnd"/>
      <w:r>
        <w:rPr>
          <w:rFonts w:ascii="Times New Roman" w:eastAsia="Times New Roman" w:hAnsi="Times New Roman" w:cs="Times New Roman"/>
          <w:sz w:val="24"/>
          <w:szCs w:val="24"/>
        </w:rPr>
        <w:t>)</w:t>
      </w:r>
    </w:p>
    <w:p w14:paraId="55998ABD" w14:textId="626EB321" w:rsidR="006B1C7A" w:rsidRDefault="00000000" w:rsidP="00BA0FB0">
      <w:pPr>
        <w:pStyle w:val="Ttulo1"/>
        <w:numPr>
          <w:ilvl w:val="0"/>
          <w:numId w:val="2"/>
        </w:numPr>
      </w:pPr>
      <w:bookmarkStart w:id="28" w:name="_Toc189565338"/>
      <w:r>
        <w:t>Metodología:</w:t>
      </w:r>
      <w:bookmarkEnd w:id="28"/>
    </w:p>
    <w:p w14:paraId="7E6C51CB" w14:textId="77777777" w:rsidR="006B1C7A"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este artículo se emplea una investigación de tipo cualitativa en donde se desarrolla el estudio de caso de la empresa Nutresa. La investigación se enfoca en esta empresa debido a los acontecimientos que surgieron en los últimos dos años con el grupo Gilinski y el GEA, en los que se percibió algunas características económicas, estratégicas y legales que se vienen presentando en el mercado accionario colombiano por la búsqueda del control.</w:t>
      </w:r>
    </w:p>
    <w:p w14:paraId="146CE2B7" w14:textId="6E6E0521" w:rsidR="006B1C7A" w:rsidRDefault="00000000" w:rsidP="00BA0FB0">
      <w:pPr>
        <w:spacing w:line="360" w:lineRule="auto"/>
        <w:ind w:firstLine="720"/>
      </w:pPr>
      <w:r>
        <w:rPr>
          <w:rFonts w:ascii="Times New Roman" w:eastAsia="Times New Roman" w:hAnsi="Times New Roman" w:cs="Times New Roman"/>
          <w:sz w:val="24"/>
          <w:szCs w:val="24"/>
        </w:rPr>
        <w:t xml:space="preserve">Esta metodología permite explorar y comprender a detalle un evento complejo que ocurrió dentro de un marco temporal específico y dentro de un contexto real. Para la construcción del estudio de caso, se hizo una revisión </w:t>
      </w:r>
      <w:r w:rsidR="00311125">
        <w:rPr>
          <w:rFonts w:ascii="Times New Roman" w:eastAsia="Times New Roman" w:hAnsi="Times New Roman" w:cs="Times New Roman"/>
          <w:sz w:val="24"/>
          <w:szCs w:val="24"/>
        </w:rPr>
        <w:t>documental de</w:t>
      </w:r>
      <w:r>
        <w:rPr>
          <w:rFonts w:ascii="Times New Roman" w:eastAsia="Times New Roman" w:hAnsi="Times New Roman" w:cs="Times New Roman"/>
          <w:sz w:val="24"/>
          <w:szCs w:val="24"/>
        </w:rPr>
        <w:t xml:space="preserve"> la información publicada por los diferentes medios de comunicación, encontrando diversas noticias de los hechos que ocurrieron. tal información se recopiló y sintetizó en fichas de revisión documental las cuales como instrumento de investigación permitieron organizar los elementos económicos, legales y estratégicos presentes en cada fuente de información, así mismo, para la documentación y contraste de información, se acudió a varios artículos investigativos que delimitaban los fenómenos ocurridos, esto permitió ejemplificar escenarios con los hechos construidos.</w:t>
      </w:r>
    </w:p>
    <w:p w14:paraId="30424CC4" w14:textId="7715ADE2" w:rsidR="006B1C7A" w:rsidRPr="00BA0FB0" w:rsidRDefault="00000000" w:rsidP="001A582D">
      <w:pPr>
        <w:pStyle w:val="Ttulo1"/>
        <w:numPr>
          <w:ilvl w:val="0"/>
          <w:numId w:val="2"/>
        </w:numPr>
      </w:pPr>
      <w:bookmarkStart w:id="29" w:name="_Toc189565339"/>
      <w:r w:rsidRPr="00BA0FB0">
        <w:t>Resultados</w:t>
      </w:r>
      <w:bookmarkEnd w:id="29"/>
    </w:p>
    <w:p w14:paraId="01816849" w14:textId="79E56756" w:rsidR="006B1C7A"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Las Ofertas Públicas de Adquisición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de Jaime Gilinski sobre el Grupo Nutresa, han sido uno de los eventos empresariales más significativos en Colombia, buscando aumentar su participación en la compañía y consolidar su influencia en el sector alimentario. A lo largo de varias ofertas, Gilinski ha enfrentado la resistencia del GEA. Este conflicto ha generado un intenso debate económico y político, marcando un precedente en la dinámica de los mercados financieros colombianos y demostrando la complejidad de las transacciones empresariales a gran escala.</w:t>
      </w:r>
    </w:p>
    <w:p w14:paraId="5C8A5C55" w14:textId="77777777" w:rsidR="006B1C7A" w:rsidRDefault="00000000" w:rsidP="00BA0FB0">
      <w:pPr>
        <w:pStyle w:val="Ttulo2"/>
      </w:pPr>
      <w:bookmarkStart w:id="30" w:name="_Toc189565340"/>
      <w:r>
        <w:lastRenderedPageBreak/>
        <w:t>4.1 Incidencias Económicas de las Ofertas Públicas de Acciones sobre Nutresa</w:t>
      </w:r>
      <w:bookmarkEnd w:id="30"/>
    </w:p>
    <w:p w14:paraId="43052257"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Las ofertas públicas de adquisición (OPA) lanzadas por Jaime Gilinski sobre el Grupo Nutresa han capturado la atención de inversionistas, analistas y también de los diferentes medios de comunicación. Desde la primera OPA en noviembre de 2021, Gilinski ha buscado no solo aumentar su participación en una de las compañías de alimentos más importantes del país, sino también transformar el sector de alimentos y ampliar su influencia en la economía colombiana.</w:t>
      </w:r>
    </w:p>
    <w:p w14:paraId="37033368" w14:textId="36F8963C" w:rsidR="006B1C7A"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por lo anterior, identificar los aspectos económicos que surgieron tras el desarrollo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para comenzar se presenta el </w:t>
      </w:r>
      <w:r w:rsidR="00311125">
        <w:rPr>
          <w:rFonts w:ascii="Times New Roman" w:eastAsia="Times New Roman" w:hAnsi="Times New Roman" w:cs="Times New Roman"/>
          <w:sz w:val="24"/>
          <w:szCs w:val="24"/>
        </w:rPr>
        <w:t>detalle de</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las mismas</w:t>
      </w:r>
      <w:proofErr w:type="gramEnd"/>
      <w:r>
        <w:rPr>
          <w:rFonts w:ascii="Times New Roman" w:eastAsia="Times New Roman" w:hAnsi="Times New Roman" w:cs="Times New Roman"/>
          <w:sz w:val="24"/>
          <w:szCs w:val="24"/>
        </w:rPr>
        <w:t xml:space="preserve"> en el siguiente cuadro:</w:t>
      </w:r>
    </w:p>
    <w:p w14:paraId="10D7E16B" w14:textId="07D135EB" w:rsidR="006B1C7A" w:rsidRPr="001A582D" w:rsidRDefault="001A582D" w:rsidP="001A582D">
      <w:pPr>
        <w:pStyle w:val="Descripcin"/>
        <w:jc w:val="center"/>
        <w:rPr>
          <w:rFonts w:ascii="Times New Roman" w:eastAsia="Times New Roman" w:hAnsi="Times New Roman" w:cs="Times New Roman"/>
          <w:b/>
          <w:color w:val="000000" w:themeColor="text1"/>
        </w:rPr>
      </w:pPr>
      <w:bookmarkStart w:id="31" w:name="_Toc189565322"/>
      <w:r w:rsidRPr="001A582D">
        <w:rPr>
          <w:rFonts w:ascii="Times New Roman" w:hAnsi="Times New Roman" w:cs="Times New Roman"/>
          <w:color w:val="000000" w:themeColor="text1"/>
        </w:rPr>
        <w:t xml:space="preserve">Tabla </w:t>
      </w:r>
      <w:r w:rsidRPr="001A582D">
        <w:rPr>
          <w:rFonts w:ascii="Times New Roman" w:hAnsi="Times New Roman" w:cs="Times New Roman"/>
          <w:color w:val="000000" w:themeColor="text1"/>
        </w:rPr>
        <w:fldChar w:fldCharType="begin"/>
      </w:r>
      <w:r w:rsidRPr="001A582D">
        <w:rPr>
          <w:rFonts w:ascii="Times New Roman" w:hAnsi="Times New Roman" w:cs="Times New Roman"/>
          <w:color w:val="000000" w:themeColor="text1"/>
        </w:rPr>
        <w:instrText xml:space="preserve"> SEQ Tabla \* ARABIC </w:instrText>
      </w:r>
      <w:r w:rsidRPr="001A582D">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1</w:t>
      </w:r>
      <w:r w:rsidRPr="001A582D">
        <w:rPr>
          <w:rFonts w:ascii="Times New Roman" w:hAnsi="Times New Roman" w:cs="Times New Roman"/>
          <w:color w:val="000000" w:themeColor="text1"/>
        </w:rPr>
        <w:fldChar w:fldCharType="end"/>
      </w:r>
      <w:r w:rsidRPr="001A582D">
        <w:rPr>
          <w:rFonts w:ascii="Times New Roman" w:hAnsi="Times New Roman" w:cs="Times New Roman"/>
          <w:color w:val="000000" w:themeColor="text1"/>
        </w:rPr>
        <w:t xml:space="preserve"> Resumen de </w:t>
      </w:r>
      <w:proofErr w:type="spellStart"/>
      <w:r w:rsidRPr="001A582D">
        <w:rPr>
          <w:rFonts w:ascii="Times New Roman" w:hAnsi="Times New Roman" w:cs="Times New Roman"/>
          <w:color w:val="000000" w:themeColor="text1"/>
        </w:rPr>
        <w:t>OPAs</w:t>
      </w:r>
      <w:proofErr w:type="spellEnd"/>
      <w:r w:rsidRPr="001A582D">
        <w:rPr>
          <w:rFonts w:ascii="Times New Roman" w:hAnsi="Times New Roman" w:cs="Times New Roman"/>
          <w:color w:val="000000" w:themeColor="text1"/>
        </w:rPr>
        <w:t xml:space="preserve"> emitidas por Nutresa S.A.</w:t>
      </w:r>
      <w:bookmarkEnd w:id="31"/>
    </w:p>
    <w:sdt>
      <w:sdtPr>
        <w:tag w:val="goog_rdk_0"/>
        <w:id w:val="-1537960498"/>
        <w:lock w:val="contentLocked"/>
      </w:sdtPr>
      <w:sdtContent>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335"/>
            <w:gridCol w:w="1590"/>
            <w:gridCol w:w="1530"/>
            <w:gridCol w:w="1635"/>
            <w:gridCol w:w="1485"/>
          </w:tblGrid>
          <w:tr w:rsidR="006B1C7A" w14:paraId="344283A8" w14:textId="77777777">
            <w:trPr>
              <w:trHeight w:val="297"/>
            </w:trPr>
            <w:tc>
              <w:tcPr>
                <w:tcW w:w="9000" w:type="dxa"/>
                <w:gridSpan w:val="6"/>
                <w:shd w:val="clear" w:color="auto" w:fill="auto"/>
                <w:tcMar>
                  <w:top w:w="100" w:type="dxa"/>
                  <w:left w:w="100" w:type="dxa"/>
                  <w:bottom w:w="100" w:type="dxa"/>
                  <w:right w:w="100" w:type="dxa"/>
                </w:tcMar>
              </w:tcPr>
              <w:p w14:paraId="44EF8808"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b/>
                    <w:i/>
                  </w:rPr>
                </w:pPr>
                <w:r>
                  <w:rPr>
                    <w:rFonts w:ascii="Times New Roman" w:eastAsia="Times New Roman" w:hAnsi="Times New Roman" w:cs="Times New Roman"/>
                    <w:b/>
                    <w:i/>
                  </w:rPr>
                  <w:t>OPAs POR NUTRESA</w:t>
                </w:r>
              </w:p>
            </w:tc>
          </w:tr>
          <w:tr w:rsidR="006B1C7A" w14:paraId="78666DF9" w14:textId="77777777">
            <w:trPr>
              <w:trHeight w:val="402"/>
            </w:trPr>
            <w:tc>
              <w:tcPr>
                <w:tcW w:w="1425" w:type="dxa"/>
                <w:shd w:val="clear" w:color="auto" w:fill="auto"/>
                <w:tcMar>
                  <w:top w:w="100" w:type="dxa"/>
                  <w:left w:w="100" w:type="dxa"/>
                  <w:bottom w:w="100" w:type="dxa"/>
                  <w:right w:w="100" w:type="dxa"/>
                </w:tcMar>
              </w:tcPr>
              <w:p w14:paraId="76C19B52" w14:textId="77777777" w:rsidR="006B1C7A" w:rsidRDefault="006B1C7A">
                <w:pPr>
                  <w:widowControl w:val="0"/>
                  <w:pBdr>
                    <w:top w:val="nil"/>
                    <w:left w:val="nil"/>
                    <w:bottom w:val="nil"/>
                    <w:right w:val="nil"/>
                    <w:between w:val="nil"/>
                  </w:pBdr>
                  <w:spacing w:line="240" w:lineRule="auto"/>
                  <w:rPr>
                    <w:rFonts w:ascii="Times New Roman" w:eastAsia="Times New Roman" w:hAnsi="Times New Roman" w:cs="Times New Roman"/>
                  </w:rPr>
                </w:pPr>
              </w:p>
            </w:tc>
            <w:tc>
              <w:tcPr>
                <w:tcW w:w="1335" w:type="dxa"/>
                <w:shd w:val="clear" w:color="auto" w:fill="auto"/>
                <w:tcMar>
                  <w:top w:w="100" w:type="dxa"/>
                  <w:left w:w="100" w:type="dxa"/>
                  <w:bottom w:w="100" w:type="dxa"/>
                  <w:right w:w="100" w:type="dxa"/>
                </w:tcMar>
              </w:tcPr>
              <w:p w14:paraId="7C708A14" w14:textId="77777777" w:rsidR="006B1C7A" w:rsidRDefault="00000000">
                <w:pPr>
                  <w:widowControl w:val="0"/>
                  <w:pBdr>
                    <w:top w:val="nil"/>
                    <w:left w:val="nil"/>
                    <w:bottom w:val="nil"/>
                    <w:right w:val="nil"/>
                    <w:between w:val="nil"/>
                  </w:pBdr>
                  <w:spacing w:line="240" w:lineRule="auto"/>
                  <w:rPr>
                    <w:rFonts w:ascii="Times New Roman" w:eastAsia="Times New Roman" w:hAnsi="Times New Roman" w:cs="Times New Roman"/>
                    <w:b/>
                    <w:i/>
                  </w:rPr>
                </w:pPr>
                <w:r>
                  <w:rPr>
                    <w:rFonts w:ascii="Times New Roman" w:eastAsia="Times New Roman" w:hAnsi="Times New Roman" w:cs="Times New Roman"/>
                    <w:b/>
                    <w:i/>
                  </w:rPr>
                  <w:t>Primer OPA</w:t>
                </w:r>
              </w:p>
            </w:tc>
            <w:tc>
              <w:tcPr>
                <w:tcW w:w="1590" w:type="dxa"/>
                <w:shd w:val="clear" w:color="auto" w:fill="auto"/>
                <w:tcMar>
                  <w:top w:w="100" w:type="dxa"/>
                  <w:left w:w="100" w:type="dxa"/>
                  <w:bottom w:w="100" w:type="dxa"/>
                  <w:right w:w="100" w:type="dxa"/>
                </w:tcMar>
              </w:tcPr>
              <w:p w14:paraId="046E13AF" w14:textId="77777777" w:rsidR="006B1C7A" w:rsidRDefault="00000000">
                <w:pPr>
                  <w:widowControl w:val="0"/>
                  <w:pBdr>
                    <w:top w:val="nil"/>
                    <w:left w:val="nil"/>
                    <w:bottom w:val="nil"/>
                    <w:right w:val="nil"/>
                    <w:between w:val="nil"/>
                  </w:pBdr>
                  <w:spacing w:line="240" w:lineRule="auto"/>
                  <w:rPr>
                    <w:rFonts w:ascii="Times New Roman" w:eastAsia="Times New Roman" w:hAnsi="Times New Roman" w:cs="Times New Roman"/>
                    <w:b/>
                    <w:i/>
                  </w:rPr>
                </w:pPr>
                <w:r>
                  <w:rPr>
                    <w:rFonts w:ascii="Times New Roman" w:eastAsia="Times New Roman" w:hAnsi="Times New Roman" w:cs="Times New Roman"/>
                    <w:b/>
                    <w:i/>
                  </w:rPr>
                  <w:t>Segunda OPA</w:t>
                </w:r>
              </w:p>
            </w:tc>
            <w:tc>
              <w:tcPr>
                <w:tcW w:w="1530" w:type="dxa"/>
                <w:shd w:val="clear" w:color="auto" w:fill="auto"/>
                <w:tcMar>
                  <w:top w:w="100" w:type="dxa"/>
                  <w:left w:w="100" w:type="dxa"/>
                  <w:bottom w:w="100" w:type="dxa"/>
                  <w:right w:w="100" w:type="dxa"/>
                </w:tcMar>
              </w:tcPr>
              <w:p w14:paraId="0DF5E224" w14:textId="77777777" w:rsidR="006B1C7A" w:rsidRDefault="00000000">
                <w:pPr>
                  <w:widowControl w:val="0"/>
                  <w:pBdr>
                    <w:top w:val="nil"/>
                    <w:left w:val="nil"/>
                    <w:bottom w:val="nil"/>
                    <w:right w:val="nil"/>
                    <w:between w:val="nil"/>
                  </w:pBdr>
                  <w:spacing w:line="240" w:lineRule="auto"/>
                  <w:rPr>
                    <w:rFonts w:ascii="Times New Roman" w:eastAsia="Times New Roman" w:hAnsi="Times New Roman" w:cs="Times New Roman"/>
                    <w:b/>
                    <w:i/>
                  </w:rPr>
                </w:pPr>
                <w:r>
                  <w:rPr>
                    <w:rFonts w:ascii="Times New Roman" w:eastAsia="Times New Roman" w:hAnsi="Times New Roman" w:cs="Times New Roman"/>
                    <w:b/>
                    <w:i/>
                  </w:rPr>
                  <w:t>Tercer OPA</w:t>
                </w:r>
              </w:p>
            </w:tc>
            <w:tc>
              <w:tcPr>
                <w:tcW w:w="1635" w:type="dxa"/>
                <w:shd w:val="clear" w:color="auto" w:fill="auto"/>
                <w:tcMar>
                  <w:top w:w="100" w:type="dxa"/>
                  <w:left w:w="100" w:type="dxa"/>
                  <w:bottom w:w="100" w:type="dxa"/>
                  <w:right w:w="100" w:type="dxa"/>
                </w:tcMar>
              </w:tcPr>
              <w:p w14:paraId="2CF13015" w14:textId="77777777" w:rsidR="006B1C7A" w:rsidRDefault="00000000">
                <w:pPr>
                  <w:widowControl w:val="0"/>
                  <w:pBdr>
                    <w:top w:val="nil"/>
                    <w:left w:val="nil"/>
                    <w:bottom w:val="nil"/>
                    <w:right w:val="nil"/>
                    <w:between w:val="nil"/>
                  </w:pBdr>
                  <w:spacing w:line="240" w:lineRule="auto"/>
                  <w:rPr>
                    <w:rFonts w:ascii="Times New Roman" w:eastAsia="Times New Roman" w:hAnsi="Times New Roman" w:cs="Times New Roman"/>
                    <w:b/>
                    <w:i/>
                  </w:rPr>
                </w:pPr>
                <w:r>
                  <w:rPr>
                    <w:rFonts w:ascii="Times New Roman" w:eastAsia="Times New Roman" w:hAnsi="Times New Roman" w:cs="Times New Roman"/>
                    <w:b/>
                    <w:i/>
                  </w:rPr>
                  <w:t>Cuarta OPA</w:t>
                </w:r>
              </w:p>
            </w:tc>
            <w:tc>
              <w:tcPr>
                <w:tcW w:w="1485" w:type="dxa"/>
                <w:shd w:val="clear" w:color="auto" w:fill="auto"/>
                <w:tcMar>
                  <w:top w:w="100" w:type="dxa"/>
                  <w:left w:w="100" w:type="dxa"/>
                  <w:bottom w:w="100" w:type="dxa"/>
                  <w:right w:w="100" w:type="dxa"/>
                </w:tcMar>
              </w:tcPr>
              <w:p w14:paraId="3BCE6787" w14:textId="77777777" w:rsidR="006B1C7A" w:rsidRDefault="00000000">
                <w:pPr>
                  <w:widowControl w:val="0"/>
                  <w:pBdr>
                    <w:top w:val="nil"/>
                    <w:left w:val="nil"/>
                    <w:bottom w:val="nil"/>
                    <w:right w:val="nil"/>
                    <w:between w:val="nil"/>
                  </w:pBdr>
                  <w:spacing w:line="240" w:lineRule="auto"/>
                  <w:rPr>
                    <w:rFonts w:ascii="Times New Roman" w:eastAsia="Times New Roman" w:hAnsi="Times New Roman" w:cs="Times New Roman"/>
                    <w:b/>
                    <w:i/>
                  </w:rPr>
                </w:pPr>
                <w:r>
                  <w:rPr>
                    <w:rFonts w:ascii="Times New Roman" w:eastAsia="Times New Roman" w:hAnsi="Times New Roman" w:cs="Times New Roman"/>
                    <w:b/>
                    <w:i/>
                  </w:rPr>
                  <w:t>Quinta OPA</w:t>
                </w:r>
              </w:p>
            </w:tc>
          </w:tr>
          <w:tr w:rsidR="006B1C7A" w14:paraId="33933B3B" w14:textId="77777777">
            <w:trPr>
              <w:trHeight w:val="535"/>
            </w:trPr>
            <w:tc>
              <w:tcPr>
                <w:tcW w:w="1425" w:type="dxa"/>
                <w:shd w:val="clear" w:color="auto" w:fill="auto"/>
                <w:tcMar>
                  <w:top w:w="100" w:type="dxa"/>
                  <w:left w:w="100" w:type="dxa"/>
                  <w:bottom w:w="100" w:type="dxa"/>
                  <w:right w:w="100" w:type="dxa"/>
                </w:tcMar>
              </w:tcPr>
              <w:p w14:paraId="0C95D1B0" w14:textId="77777777" w:rsidR="006B1C7A" w:rsidRDefault="00000000">
                <w:pPr>
                  <w:widowControl w:val="0"/>
                  <w:pBdr>
                    <w:top w:val="nil"/>
                    <w:left w:val="nil"/>
                    <w:bottom w:val="nil"/>
                    <w:right w:val="nil"/>
                    <w:between w:val="nil"/>
                  </w:pBdr>
                  <w:spacing w:line="240" w:lineRule="auto"/>
                  <w:rPr>
                    <w:rFonts w:ascii="Times New Roman" w:eastAsia="Times New Roman" w:hAnsi="Times New Roman" w:cs="Times New Roman"/>
                    <w:b/>
                    <w:i/>
                  </w:rPr>
                </w:pPr>
                <w:r>
                  <w:rPr>
                    <w:rFonts w:ascii="Times New Roman" w:eastAsia="Times New Roman" w:hAnsi="Times New Roman" w:cs="Times New Roman"/>
                    <w:b/>
                    <w:i/>
                  </w:rPr>
                  <w:t>Precio de compra</w:t>
                </w:r>
              </w:p>
            </w:tc>
            <w:tc>
              <w:tcPr>
                <w:tcW w:w="1335" w:type="dxa"/>
                <w:shd w:val="clear" w:color="auto" w:fill="auto"/>
                <w:tcMar>
                  <w:top w:w="100" w:type="dxa"/>
                  <w:left w:w="100" w:type="dxa"/>
                  <w:bottom w:w="100" w:type="dxa"/>
                  <w:right w:w="100" w:type="dxa"/>
                </w:tcMar>
              </w:tcPr>
              <w:p w14:paraId="6A99F386"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US 7,71</w:t>
                </w:r>
              </w:p>
            </w:tc>
            <w:tc>
              <w:tcPr>
                <w:tcW w:w="1590" w:type="dxa"/>
                <w:shd w:val="clear" w:color="auto" w:fill="auto"/>
                <w:tcMar>
                  <w:top w:w="100" w:type="dxa"/>
                  <w:left w:w="100" w:type="dxa"/>
                  <w:bottom w:w="100" w:type="dxa"/>
                  <w:right w:w="100" w:type="dxa"/>
                </w:tcMar>
              </w:tcPr>
              <w:p w14:paraId="2F204A6D"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US 10,48</w:t>
                </w:r>
              </w:p>
            </w:tc>
            <w:tc>
              <w:tcPr>
                <w:tcW w:w="1530" w:type="dxa"/>
                <w:shd w:val="clear" w:color="auto" w:fill="auto"/>
                <w:tcMar>
                  <w:top w:w="100" w:type="dxa"/>
                  <w:left w:w="100" w:type="dxa"/>
                  <w:bottom w:w="100" w:type="dxa"/>
                  <w:right w:w="100" w:type="dxa"/>
                </w:tcMar>
              </w:tcPr>
              <w:p w14:paraId="04D3FCE9"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US 12,58</w:t>
                </w:r>
              </w:p>
            </w:tc>
            <w:tc>
              <w:tcPr>
                <w:tcW w:w="1635" w:type="dxa"/>
                <w:shd w:val="clear" w:color="auto" w:fill="auto"/>
                <w:tcMar>
                  <w:top w:w="100" w:type="dxa"/>
                  <w:left w:w="100" w:type="dxa"/>
                  <w:bottom w:w="100" w:type="dxa"/>
                  <w:right w:w="100" w:type="dxa"/>
                </w:tcMar>
              </w:tcPr>
              <w:p w14:paraId="539A2ACB"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US 15</w:t>
                </w:r>
              </w:p>
            </w:tc>
            <w:tc>
              <w:tcPr>
                <w:tcW w:w="1485" w:type="dxa"/>
                <w:shd w:val="clear" w:color="auto" w:fill="auto"/>
                <w:tcMar>
                  <w:top w:w="100" w:type="dxa"/>
                  <w:left w:w="100" w:type="dxa"/>
                  <w:bottom w:w="100" w:type="dxa"/>
                  <w:right w:w="100" w:type="dxa"/>
                </w:tcMar>
              </w:tcPr>
              <w:p w14:paraId="5C6897C5"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US 12</w:t>
                </w:r>
              </w:p>
            </w:tc>
          </w:tr>
          <w:tr w:rsidR="006B1C7A" w14:paraId="19B6952C" w14:textId="77777777">
            <w:trPr>
              <w:trHeight w:val="848"/>
            </w:trPr>
            <w:tc>
              <w:tcPr>
                <w:tcW w:w="1425" w:type="dxa"/>
                <w:shd w:val="clear" w:color="auto" w:fill="auto"/>
                <w:tcMar>
                  <w:top w:w="100" w:type="dxa"/>
                  <w:left w:w="100" w:type="dxa"/>
                  <w:bottom w:w="100" w:type="dxa"/>
                  <w:right w:w="100" w:type="dxa"/>
                </w:tcMar>
              </w:tcPr>
              <w:p w14:paraId="32541808" w14:textId="77777777" w:rsidR="006B1C7A" w:rsidRDefault="00000000">
                <w:pPr>
                  <w:widowControl w:val="0"/>
                  <w:pBdr>
                    <w:top w:val="nil"/>
                    <w:left w:val="nil"/>
                    <w:bottom w:val="nil"/>
                    <w:right w:val="nil"/>
                    <w:between w:val="nil"/>
                  </w:pBdr>
                  <w:spacing w:line="240" w:lineRule="auto"/>
                  <w:rPr>
                    <w:rFonts w:ascii="Times New Roman" w:eastAsia="Times New Roman" w:hAnsi="Times New Roman" w:cs="Times New Roman"/>
                    <w:b/>
                    <w:i/>
                  </w:rPr>
                </w:pPr>
                <w:r>
                  <w:rPr>
                    <w:rFonts w:ascii="Times New Roman" w:eastAsia="Times New Roman" w:hAnsi="Times New Roman" w:cs="Times New Roman"/>
                    <w:b/>
                    <w:i/>
                  </w:rPr>
                  <w:t>Lo que querían adquirir</w:t>
                </w:r>
              </w:p>
            </w:tc>
            <w:tc>
              <w:tcPr>
                <w:tcW w:w="1335" w:type="dxa"/>
                <w:shd w:val="clear" w:color="auto" w:fill="auto"/>
                <w:tcMar>
                  <w:top w:w="100" w:type="dxa"/>
                  <w:left w:w="100" w:type="dxa"/>
                  <w:bottom w:w="100" w:type="dxa"/>
                  <w:right w:w="100" w:type="dxa"/>
                </w:tcMar>
              </w:tcPr>
              <w:p w14:paraId="5F2ABD53"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Entre el 50,1 % y el 62,6 %</w:t>
                </w:r>
              </w:p>
            </w:tc>
            <w:tc>
              <w:tcPr>
                <w:tcW w:w="1590" w:type="dxa"/>
                <w:shd w:val="clear" w:color="auto" w:fill="auto"/>
                <w:tcMar>
                  <w:top w:w="100" w:type="dxa"/>
                  <w:left w:w="100" w:type="dxa"/>
                  <w:bottom w:w="100" w:type="dxa"/>
                  <w:right w:w="100" w:type="dxa"/>
                </w:tcMar>
              </w:tcPr>
              <w:p w14:paraId="05AE11DE"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Entre el 18,3% y el 22,8%</w:t>
                </w:r>
              </w:p>
            </w:tc>
            <w:tc>
              <w:tcPr>
                <w:tcW w:w="1530" w:type="dxa"/>
                <w:shd w:val="clear" w:color="auto" w:fill="auto"/>
                <w:tcMar>
                  <w:top w:w="100" w:type="dxa"/>
                  <w:left w:w="100" w:type="dxa"/>
                  <w:bottom w:w="100" w:type="dxa"/>
                  <w:right w:w="100" w:type="dxa"/>
                </w:tcMar>
              </w:tcPr>
              <w:p w14:paraId="01F016AB"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Entre el 9,6 %  y el 12%</w:t>
                </w:r>
              </w:p>
            </w:tc>
            <w:tc>
              <w:tcPr>
                <w:tcW w:w="1635" w:type="dxa"/>
                <w:shd w:val="clear" w:color="auto" w:fill="auto"/>
                <w:tcMar>
                  <w:top w:w="100" w:type="dxa"/>
                  <w:left w:w="100" w:type="dxa"/>
                  <w:bottom w:w="100" w:type="dxa"/>
                  <w:right w:w="100" w:type="dxa"/>
                </w:tcMar>
              </w:tcPr>
              <w:p w14:paraId="72A24741"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Entre el 25% y el 31,2% </w:t>
                </w:r>
              </w:p>
            </w:tc>
            <w:tc>
              <w:tcPr>
                <w:tcW w:w="1485" w:type="dxa"/>
                <w:shd w:val="clear" w:color="auto" w:fill="auto"/>
                <w:tcMar>
                  <w:top w:w="100" w:type="dxa"/>
                  <w:left w:w="100" w:type="dxa"/>
                  <w:bottom w:w="100" w:type="dxa"/>
                  <w:right w:w="100" w:type="dxa"/>
                </w:tcMar>
              </w:tcPr>
              <w:p w14:paraId="56947E1A"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Abarcó el 23,1%</w:t>
                </w:r>
              </w:p>
            </w:tc>
          </w:tr>
          <w:tr w:rsidR="006B1C7A" w14:paraId="77E5CCAC" w14:textId="77777777">
            <w:trPr>
              <w:trHeight w:val="996"/>
            </w:trPr>
            <w:tc>
              <w:tcPr>
                <w:tcW w:w="1425" w:type="dxa"/>
                <w:shd w:val="clear" w:color="auto" w:fill="auto"/>
                <w:tcMar>
                  <w:top w:w="100" w:type="dxa"/>
                  <w:left w:w="100" w:type="dxa"/>
                  <w:bottom w:w="100" w:type="dxa"/>
                  <w:right w:w="100" w:type="dxa"/>
                </w:tcMar>
              </w:tcPr>
              <w:p w14:paraId="0C8577C7" w14:textId="77777777" w:rsidR="006B1C7A" w:rsidRDefault="00000000">
                <w:pPr>
                  <w:widowControl w:val="0"/>
                  <w:pBdr>
                    <w:top w:val="nil"/>
                    <w:left w:val="nil"/>
                    <w:bottom w:val="nil"/>
                    <w:right w:val="nil"/>
                    <w:between w:val="nil"/>
                  </w:pBdr>
                  <w:spacing w:line="240" w:lineRule="auto"/>
                  <w:rPr>
                    <w:rFonts w:ascii="Times New Roman" w:eastAsia="Times New Roman" w:hAnsi="Times New Roman" w:cs="Times New Roman"/>
                    <w:b/>
                    <w:i/>
                  </w:rPr>
                </w:pPr>
                <w:r>
                  <w:rPr>
                    <w:rFonts w:ascii="Times New Roman" w:eastAsia="Times New Roman" w:hAnsi="Times New Roman" w:cs="Times New Roman"/>
                    <w:b/>
                    <w:i/>
                  </w:rPr>
                  <w:t>Acciones que lograron.</w:t>
                </w:r>
              </w:p>
            </w:tc>
            <w:tc>
              <w:tcPr>
                <w:tcW w:w="1335" w:type="dxa"/>
                <w:shd w:val="clear" w:color="auto" w:fill="auto"/>
                <w:tcMar>
                  <w:top w:w="100" w:type="dxa"/>
                  <w:left w:w="100" w:type="dxa"/>
                  <w:bottom w:w="100" w:type="dxa"/>
                  <w:right w:w="100" w:type="dxa"/>
                </w:tcMar>
              </w:tcPr>
              <w:p w14:paraId="7750C902"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126,7 millones</w:t>
                </w:r>
              </w:p>
            </w:tc>
            <w:tc>
              <w:tcPr>
                <w:tcW w:w="1590" w:type="dxa"/>
                <w:shd w:val="clear" w:color="auto" w:fill="auto"/>
                <w:tcMar>
                  <w:top w:w="100" w:type="dxa"/>
                  <w:left w:w="100" w:type="dxa"/>
                  <w:bottom w:w="100" w:type="dxa"/>
                  <w:right w:w="100" w:type="dxa"/>
                </w:tcMar>
              </w:tcPr>
              <w:p w14:paraId="713C4902"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14,24 millones</w:t>
                </w:r>
              </w:p>
            </w:tc>
            <w:tc>
              <w:tcPr>
                <w:tcW w:w="1530" w:type="dxa"/>
                <w:shd w:val="clear" w:color="auto" w:fill="auto"/>
                <w:tcMar>
                  <w:top w:w="100" w:type="dxa"/>
                  <w:left w:w="100" w:type="dxa"/>
                  <w:bottom w:w="100" w:type="dxa"/>
                  <w:right w:w="100" w:type="dxa"/>
                </w:tcMar>
              </w:tcPr>
              <w:p w14:paraId="30C9D886"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La OPA se declaró desierta</w:t>
                </w:r>
              </w:p>
            </w:tc>
            <w:tc>
              <w:tcPr>
                <w:tcW w:w="1635" w:type="dxa"/>
                <w:shd w:val="clear" w:color="auto" w:fill="auto"/>
                <w:tcMar>
                  <w:top w:w="100" w:type="dxa"/>
                  <w:left w:w="100" w:type="dxa"/>
                  <w:bottom w:w="100" w:type="dxa"/>
                  <w:right w:w="100" w:type="dxa"/>
                </w:tcMar>
              </w:tcPr>
              <w:p w14:paraId="4A845DD4"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La OPA se declaró desierta</w:t>
                </w:r>
              </w:p>
              <w:p w14:paraId="53105CFD" w14:textId="77777777" w:rsidR="006B1C7A" w:rsidRDefault="006B1C7A">
                <w:pPr>
                  <w:widowControl w:val="0"/>
                  <w:pBdr>
                    <w:top w:val="nil"/>
                    <w:left w:val="nil"/>
                    <w:bottom w:val="nil"/>
                    <w:right w:val="nil"/>
                    <w:between w:val="nil"/>
                  </w:pBdr>
                  <w:spacing w:line="240" w:lineRule="auto"/>
                  <w:jc w:val="center"/>
                  <w:rPr>
                    <w:rFonts w:ascii="Times New Roman" w:eastAsia="Times New Roman" w:hAnsi="Times New Roman" w:cs="Times New Roman"/>
                  </w:rPr>
                </w:pPr>
              </w:p>
            </w:tc>
            <w:tc>
              <w:tcPr>
                <w:tcW w:w="1485" w:type="dxa"/>
                <w:shd w:val="clear" w:color="auto" w:fill="auto"/>
                <w:tcMar>
                  <w:top w:w="100" w:type="dxa"/>
                  <w:left w:w="100" w:type="dxa"/>
                  <w:bottom w:w="100" w:type="dxa"/>
                  <w:right w:w="100" w:type="dxa"/>
                </w:tcMar>
              </w:tcPr>
              <w:p w14:paraId="35CC40FC" w14:textId="77777777" w:rsidR="006B1C7A" w:rsidRDefault="00000000">
                <w:pPr>
                  <w:widowControl w:val="0"/>
                  <w:pBdr>
                    <w:top w:val="nil"/>
                    <w:left w:val="nil"/>
                    <w:bottom w:val="nil"/>
                    <w:right w:val="nil"/>
                    <w:between w:val="nil"/>
                  </w:pBdr>
                  <w:spacing w:line="240" w:lineRule="auto"/>
                  <w:jc w:val="center"/>
                  <w:rPr>
                    <w:rFonts w:ascii="Times New Roman" w:eastAsia="Times New Roman" w:hAnsi="Times New Roman" w:cs="Times New Roman"/>
                  </w:rPr>
                </w:pPr>
                <w:r>
                  <w:rPr>
                    <w:rFonts w:ascii="Times New Roman" w:eastAsia="Times New Roman" w:hAnsi="Times New Roman" w:cs="Times New Roman"/>
                  </w:rPr>
                  <w:t>105 millones</w:t>
                </w:r>
              </w:p>
            </w:tc>
          </w:tr>
        </w:tbl>
      </w:sdtContent>
    </w:sdt>
    <w:p w14:paraId="45E9ED7A" w14:textId="77777777" w:rsidR="006B1C7A" w:rsidRDefault="00000000">
      <w:pPr>
        <w:spacing w:before="240" w:after="240" w:line="360" w:lineRule="auto"/>
        <w:rPr>
          <w:rFonts w:ascii="Times New Roman" w:eastAsia="Times New Roman" w:hAnsi="Times New Roman" w:cs="Times New Roman"/>
          <w:sz w:val="20"/>
          <w:szCs w:val="20"/>
        </w:rPr>
      </w:pPr>
      <w:r>
        <w:rPr>
          <w:rFonts w:ascii="Times New Roman" w:eastAsia="Times New Roman" w:hAnsi="Times New Roman" w:cs="Times New Roman"/>
          <w:i/>
          <w:sz w:val="20"/>
          <w:szCs w:val="20"/>
        </w:rPr>
        <w:t>Fuente: elaboración propia</w:t>
      </w:r>
      <w:r>
        <w:rPr>
          <w:rFonts w:ascii="Times New Roman" w:eastAsia="Times New Roman" w:hAnsi="Times New Roman" w:cs="Times New Roman"/>
          <w:sz w:val="20"/>
          <w:szCs w:val="20"/>
        </w:rPr>
        <w:t>.</w:t>
      </w:r>
    </w:p>
    <w:p w14:paraId="3A483910" w14:textId="77777777" w:rsidR="006B1C7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con la emisión de las OPAS Nutresa S.A se ha visto impactada desde varias aristas una de ellas la económica, se puede decir que hasta la fecha todavía se ha evidenciado resultados de estas operaciones mercantiles.</w:t>
      </w:r>
    </w:p>
    <w:p w14:paraId="7FC1E92F" w14:textId="77777777" w:rsidR="006B1C7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Una de las principales incidencias fue el impacto en el precio de las acciones de Nutresa S.A. en la Bolsa de Valores. Para analizar este efecto, se observa el valor de la acción en el mercado accionario un mes antes de la emisión de cada OPA, el precio al momento de la emisión y, finalmente, el valor de la acción un mes después de la oferta. Este análisis se repite para cada OPA lanzada por Gilinski sobre Nutresa hasta la cuarta OPA, con el fin de evidenciar los cambios generados en el comportamiento de las acciones de la compañía.</w:t>
      </w:r>
    </w:p>
    <w:p w14:paraId="7D00FF25" w14:textId="766F2FC1" w:rsidR="001A582D" w:rsidRPr="001A582D" w:rsidRDefault="001A582D" w:rsidP="001A582D">
      <w:pPr>
        <w:pStyle w:val="Descripcin"/>
        <w:keepNext/>
        <w:jc w:val="center"/>
        <w:rPr>
          <w:rFonts w:ascii="Times New Roman" w:hAnsi="Times New Roman" w:cs="Times New Roman"/>
          <w:color w:val="000000" w:themeColor="text1"/>
        </w:rPr>
      </w:pPr>
      <w:bookmarkStart w:id="32" w:name="_Toc189565323"/>
      <w:r w:rsidRPr="001A582D">
        <w:rPr>
          <w:rFonts w:ascii="Times New Roman" w:hAnsi="Times New Roman" w:cs="Times New Roman"/>
          <w:color w:val="000000" w:themeColor="text1"/>
        </w:rPr>
        <w:lastRenderedPageBreak/>
        <w:t xml:space="preserve">Tabla </w:t>
      </w:r>
      <w:r w:rsidRPr="001A582D">
        <w:rPr>
          <w:rFonts w:ascii="Times New Roman" w:hAnsi="Times New Roman" w:cs="Times New Roman"/>
          <w:color w:val="000000" w:themeColor="text1"/>
        </w:rPr>
        <w:fldChar w:fldCharType="begin"/>
      </w:r>
      <w:r w:rsidRPr="001A582D">
        <w:rPr>
          <w:rFonts w:ascii="Times New Roman" w:hAnsi="Times New Roman" w:cs="Times New Roman"/>
          <w:color w:val="000000" w:themeColor="text1"/>
        </w:rPr>
        <w:instrText xml:space="preserve"> SEQ Tabla \* ARABIC </w:instrText>
      </w:r>
      <w:r w:rsidRPr="001A582D">
        <w:rPr>
          <w:rFonts w:ascii="Times New Roman" w:hAnsi="Times New Roman" w:cs="Times New Roman"/>
          <w:color w:val="000000" w:themeColor="text1"/>
        </w:rPr>
        <w:fldChar w:fldCharType="separate"/>
      </w:r>
      <w:r>
        <w:rPr>
          <w:rFonts w:ascii="Times New Roman" w:hAnsi="Times New Roman" w:cs="Times New Roman"/>
          <w:noProof/>
          <w:color w:val="000000" w:themeColor="text1"/>
        </w:rPr>
        <w:t>2</w:t>
      </w:r>
      <w:r w:rsidRPr="001A582D">
        <w:rPr>
          <w:rFonts w:ascii="Times New Roman" w:hAnsi="Times New Roman" w:cs="Times New Roman"/>
          <w:color w:val="000000" w:themeColor="text1"/>
        </w:rPr>
        <w:fldChar w:fldCharType="end"/>
      </w:r>
      <w:r w:rsidRPr="001A582D">
        <w:rPr>
          <w:rFonts w:ascii="Times New Roman" w:hAnsi="Times New Roman" w:cs="Times New Roman"/>
          <w:color w:val="000000" w:themeColor="text1"/>
        </w:rPr>
        <w:t xml:space="preserve"> Acciones de Nutresa S.A</w:t>
      </w:r>
      <w:bookmarkEnd w:id="32"/>
    </w:p>
    <w:p w14:paraId="7FA1EE78" w14:textId="77777777" w:rsidR="006B1C7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554D545" wp14:editId="5286A4B6">
            <wp:extent cx="5644019" cy="70909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l="47341" t="34220" r="5315" b="55202"/>
                    <a:stretch>
                      <a:fillRect/>
                    </a:stretch>
                  </pic:blipFill>
                  <pic:spPr>
                    <a:xfrm>
                      <a:off x="0" y="0"/>
                      <a:ext cx="5644019" cy="709096"/>
                    </a:xfrm>
                    <a:prstGeom prst="rect">
                      <a:avLst/>
                    </a:prstGeom>
                    <a:ln/>
                  </pic:spPr>
                </pic:pic>
              </a:graphicData>
            </a:graphic>
          </wp:inline>
        </w:drawing>
      </w:r>
    </w:p>
    <w:p w14:paraId="02466B22" w14:textId="77777777" w:rsidR="006B1C7A" w:rsidRDefault="00000000">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Fuente: Elaboración propia</w:t>
      </w:r>
    </w:p>
    <w:p w14:paraId="62889C70" w14:textId="77777777" w:rsidR="006B1C7A" w:rsidRDefault="006B1C7A">
      <w:pPr>
        <w:jc w:val="both"/>
        <w:rPr>
          <w:rFonts w:ascii="Times New Roman" w:eastAsia="Times New Roman" w:hAnsi="Times New Roman" w:cs="Times New Roman"/>
          <w:sz w:val="24"/>
          <w:szCs w:val="24"/>
        </w:rPr>
      </w:pPr>
    </w:p>
    <w:p w14:paraId="2DE67186" w14:textId="45DF4E72" w:rsidR="006B1C7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este evento no solo impactó el valor de las acciones del Grupo Nutresa en ese momento </w:t>
      </w:r>
      <w:r w:rsidR="00311125">
        <w:rPr>
          <w:rFonts w:ascii="Times New Roman" w:eastAsia="Times New Roman" w:hAnsi="Times New Roman" w:cs="Times New Roman"/>
          <w:sz w:val="24"/>
          <w:szCs w:val="24"/>
        </w:rPr>
        <w:t>sino</w:t>
      </w:r>
      <w:r>
        <w:rPr>
          <w:rFonts w:ascii="Times New Roman" w:eastAsia="Times New Roman" w:hAnsi="Times New Roman" w:cs="Times New Roman"/>
          <w:sz w:val="24"/>
          <w:szCs w:val="24"/>
        </w:rPr>
        <w:t xml:space="preserve"> que también ha tenido un impacto tiempo después, es por esto que se encuentra necesario evaluar el valor de las acciones un año después de la cuarta OPA es decir mirar cómo ha sido el valor de las acciones a 2023, al principio del año la acción  se encontraba en 44.500, a mitad de año alcanzó los 57.780 y para finalizar el año tomó un valor de  46.980 teniendo entonces una variación de un 6 %, pero mirando el valor de la acción desde el 2021 hasta el 2023 la variación es de 115% lo que indica que las OPAS incidieron evidentemente en el valor de las acciones del Grupo Nutresa S.A.</w:t>
      </w:r>
    </w:p>
    <w:p w14:paraId="7C9DDD52" w14:textId="77777777" w:rsidR="006B1C7A" w:rsidRDefault="006B1C7A">
      <w:pPr>
        <w:jc w:val="both"/>
        <w:rPr>
          <w:rFonts w:ascii="Times New Roman" w:eastAsia="Times New Roman" w:hAnsi="Times New Roman" w:cs="Times New Roman"/>
          <w:sz w:val="24"/>
          <w:szCs w:val="24"/>
        </w:rPr>
      </w:pPr>
    </w:p>
    <w:p w14:paraId="4F40831B" w14:textId="77777777" w:rsidR="006B1C7A"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 aspecto económico relevante tras el lanzamiento y desarrollo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es el impacto en el sector de alimentos. En este sentido, se presenta a detalle sobre cómo ha variado la participación de mercado del Grupo Nutresa S.A. dentro de dicho sector a lo largo de los años en que se han llevado a cabo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Esta información se ha obtenido a partir de los informes integrados anuales que la empresa presenta, los cuales ofrecen una visión detallada de su desempeño y evolución.</w:t>
      </w:r>
    </w:p>
    <w:p w14:paraId="3A777905" w14:textId="77777777" w:rsidR="001A582D" w:rsidRDefault="001A582D">
      <w:pPr>
        <w:jc w:val="both"/>
        <w:rPr>
          <w:rFonts w:ascii="Times New Roman" w:eastAsia="Times New Roman" w:hAnsi="Times New Roman" w:cs="Times New Roman"/>
          <w:sz w:val="24"/>
          <w:szCs w:val="24"/>
        </w:rPr>
      </w:pPr>
    </w:p>
    <w:p w14:paraId="485BF3E5" w14:textId="146A8B49" w:rsidR="001A582D" w:rsidRPr="001A582D" w:rsidRDefault="001A582D" w:rsidP="001A582D">
      <w:pPr>
        <w:pStyle w:val="Descripcin"/>
        <w:keepNext/>
        <w:jc w:val="center"/>
        <w:rPr>
          <w:rFonts w:ascii="Times New Roman" w:eastAsia="Times New Roman" w:hAnsi="Times New Roman" w:cs="Times New Roman"/>
          <w:b/>
          <w:sz w:val="24"/>
          <w:szCs w:val="24"/>
        </w:rPr>
      </w:pPr>
      <w:bookmarkStart w:id="33" w:name="_Toc189565324"/>
      <w:r w:rsidRPr="001A582D">
        <w:rPr>
          <w:rFonts w:ascii="Times New Roman" w:hAnsi="Times New Roman" w:cs="Times New Roman"/>
          <w:color w:val="000000" w:themeColor="text1"/>
        </w:rPr>
        <w:t xml:space="preserve">Tabla </w:t>
      </w:r>
      <w:r w:rsidRPr="001A582D">
        <w:rPr>
          <w:rFonts w:ascii="Times New Roman" w:hAnsi="Times New Roman" w:cs="Times New Roman"/>
          <w:color w:val="000000" w:themeColor="text1"/>
        </w:rPr>
        <w:fldChar w:fldCharType="begin"/>
      </w:r>
      <w:r w:rsidRPr="001A582D">
        <w:rPr>
          <w:rFonts w:ascii="Times New Roman" w:hAnsi="Times New Roman" w:cs="Times New Roman"/>
          <w:color w:val="000000" w:themeColor="text1"/>
        </w:rPr>
        <w:instrText xml:space="preserve"> SEQ Tabla \* ARABIC </w:instrText>
      </w:r>
      <w:r w:rsidRPr="001A582D">
        <w:rPr>
          <w:rFonts w:ascii="Times New Roman" w:hAnsi="Times New Roman" w:cs="Times New Roman"/>
          <w:color w:val="000000" w:themeColor="text1"/>
        </w:rPr>
        <w:fldChar w:fldCharType="separate"/>
      </w:r>
      <w:r w:rsidRPr="001A582D">
        <w:rPr>
          <w:rFonts w:ascii="Times New Roman" w:hAnsi="Times New Roman" w:cs="Times New Roman"/>
          <w:noProof/>
          <w:color w:val="000000" w:themeColor="text1"/>
        </w:rPr>
        <w:t>3</w:t>
      </w:r>
      <w:r w:rsidRPr="001A582D">
        <w:rPr>
          <w:rFonts w:ascii="Times New Roman" w:hAnsi="Times New Roman" w:cs="Times New Roman"/>
          <w:color w:val="000000" w:themeColor="text1"/>
        </w:rPr>
        <w:fldChar w:fldCharType="end"/>
      </w:r>
      <w:r w:rsidRPr="001A582D">
        <w:rPr>
          <w:rFonts w:ascii="Times New Roman" w:hAnsi="Times New Roman" w:cs="Times New Roman"/>
          <w:color w:val="000000" w:themeColor="text1"/>
        </w:rPr>
        <w:t xml:space="preserve"> Participación de Nutresa S.A en el Sector de Alimentos</w:t>
      </w:r>
      <w:bookmarkEnd w:id="33"/>
    </w:p>
    <w:p w14:paraId="0B42AB5B" w14:textId="77777777" w:rsidR="006B1C7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269C2A5" wp14:editId="7E5CF653">
            <wp:extent cx="3450004" cy="92713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3450004" cy="927133"/>
                    </a:xfrm>
                    <a:prstGeom prst="rect">
                      <a:avLst/>
                    </a:prstGeom>
                    <a:ln/>
                  </pic:spPr>
                </pic:pic>
              </a:graphicData>
            </a:graphic>
          </wp:inline>
        </w:drawing>
      </w:r>
    </w:p>
    <w:p w14:paraId="17B4899E" w14:textId="77777777" w:rsidR="006B1C7A"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F62CBCE" wp14:editId="1C318F34">
            <wp:extent cx="3318771" cy="1813638"/>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318771" cy="1813638"/>
                    </a:xfrm>
                    <a:prstGeom prst="rect">
                      <a:avLst/>
                    </a:prstGeom>
                    <a:ln/>
                  </pic:spPr>
                </pic:pic>
              </a:graphicData>
            </a:graphic>
          </wp:inline>
        </w:drawing>
      </w:r>
    </w:p>
    <w:p w14:paraId="041037C9" w14:textId="77777777" w:rsidR="006B1C7A" w:rsidRDefault="00000000">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Fuente: Elaboración propia</w:t>
      </w:r>
    </w:p>
    <w:p w14:paraId="7D38D522" w14:textId="77777777" w:rsidR="006B1C7A"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observa una disminución en la participación de mercado de Nutresa en los últimos años, lo cual se refleja en la evolución de sus cifras anuales. Esta tendencia a la baja coincidió con el período en que se realizaron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lo que, aunque no sea el único factor, tiene una influencia considerable en su presencia en el mercado. Este aspecto resulta particularmente </w:t>
      </w:r>
      <w:r>
        <w:rPr>
          <w:rFonts w:ascii="Times New Roman" w:eastAsia="Times New Roman" w:hAnsi="Times New Roman" w:cs="Times New Roman"/>
          <w:sz w:val="24"/>
          <w:szCs w:val="24"/>
        </w:rPr>
        <w:lastRenderedPageBreak/>
        <w:t>relevante para los inversores del sector, quienes observan cómo las transacciones y negociaciones que involucran a la empresa pueden impactar su estructura y posición dentro del sector.</w:t>
      </w:r>
    </w:p>
    <w:p w14:paraId="0855859F" w14:textId="77777777" w:rsidR="006B1C7A" w:rsidRDefault="00000000" w:rsidP="001A582D">
      <w:pPr>
        <w:pStyle w:val="Ttulo2"/>
      </w:pPr>
      <w:bookmarkStart w:id="34" w:name="_Toc189565341"/>
      <w:r>
        <w:t>4.2. Vertientes legales del conflicto</w:t>
      </w:r>
      <w:bookmarkEnd w:id="34"/>
    </w:p>
    <w:p w14:paraId="53F3D96F" w14:textId="6BAB7AFE" w:rsidR="006B1C7A"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importante mencionar en primer lugar que, </w:t>
      </w:r>
      <w:r w:rsidR="00311125">
        <w:rPr>
          <w:rFonts w:ascii="Times New Roman" w:eastAsia="Times New Roman" w:hAnsi="Times New Roman" w:cs="Times New Roman"/>
          <w:sz w:val="24"/>
          <w:szCs w:val="24"/>
        </w:rPr>
        <w:t>la compra de acciones por parte de los Gilinski por su manera de desarrollarse se considera</w:t>
      </w:r>
      <w:r>
        <w:rPr>
          <w:rFonts w:ascii="Times New Roman" w:eastAsia="Times New Roman" w:hAnsi="Times New Roman" w:cs="Times New Roman"/>
          <w:sz w:val="24"/>
          <w:szCs w:val="24"/>
        </w:rPr>
        <w:t xml:space="preserve"> hostiles, lo cual causó en el mercado tensión, controversia e incertidumbre, no obstante, desde el marco legal </w:t>
      </w:r>
      <w:r w:rsidR="00311125">
        <w:rPr>
          <w:rFonts w:ascii="Times New Roman" w:eastAsia="Times New Roman" w:hAnsi="Times New Roman" w:cs="Times New Roman"/>
          <w:sz w:val="24"/>
          <w:szCs w:val="24"/>
        </w:rPr>
        <w:t>la ejecución de estas cumplió</w:t>
      </w:r>
      <w:r>
        <w:rPr>
          <w:rFonts w:ascii="Times New Roman" w:eastAsia="Times New Roman" w:hAnsi="Times New Roman" w:cs="Times New Roman"/>
          <w:sz w:val="24"/>
          <w:szCs w:val="24"/>
        </w:rPr>
        <w:t xml:space="preserve"> todos los marcos normativos y legales vigentes en el contexto colombiano.</w:t>
      </w:r>
    </w:p>
    <w:p w14:paraId="4CE96BC3" w14:textId="77777777" w:rsidR="006B1C7A"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que el desarrollo de este mecanismo de adquisición de control sobre una empresa se haya dado dentro del marco legal no desconoce que el conflicto que derivó de este haya vulnerado algunos agentes y aspectos que rodean el ámbito empresarial, tal es el caso de los accionistas minoritarios, los cuales se vieron en una situación de incertidumbre respecto al futuro de las compañías en las que tenían participación. La adquisición de acciones por parte de los Gilinski, a través de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generó un ambiente de especulación sobre la dirección estratégica de empresas pertenecientes al conglomerado del GEA, lo cual podría derivar en una afectación de las inversiones por un cambio en el modelo de negocio o por reestructuraciones administrativas. </w:t>
      </w:r>
    </w:p>
    <w:p w14:paraId="31D7FC05" w14:textId="77777777" w:rsidR="006B1C7A"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Otro aspecto importante ha sido la defensa de los derechos de los accionistas minoritarios, los Gilinski han sido acusados de no respetar adecuadamente los intereses de estos accionistas al buscar el control de empresas del GEA. Por su parte, el GEA también ha buscado proteger sus activos y control, lo que ha derivado en disputas legales sobre los derechos de voto y las decisiones estratégicas dentro de las empresas involucradas, dejando a los minoritarios en desventaja al momento de tomar decisiones importantes.</w:t>
      </w:r>
    </w:p>
    <w:p w14:paraId="45EC2009" w14:textId="366DDA59" w:rsidR="006B1C7A"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 situación deja en evidencia que si bien existen leyes y normativas que buscan proteger los derechos de los accionistas minoritarios, no existía una institución o entidad dentro del gobierno </w:t>
      </w:r>
      <w:r w:rsidR="00311125">
        <w:rPr>
          <w:rFonts w:ascii="Times New Roman" w:eastAsia="Times New Roman" w:hAnsi="Times New Roman" w:cs="Times New Roman"/>
          <w:sz w:val="24"/>
          <w:szCs w:val="24"/>
        </w:rPr>
        <w:t>colombiano</w:t>
      </w:r>
      <w:r>
        <w:rPr>
          <w:rFonts w:ascii="Times New Roman" w:eastAsia="Times New Roman" w:hAnsi="Times New Roman" w:cs="Times New Roman"/>
          <w:sz w:val="24"/>
          <w:szCs w:val="24"/>
        </w:rPr>
        <w:t xml:space="preserve"> que se encargará de velar porque tales normas se lleven a cabo y los intereses de este grupo no sean vulnerados.</w:t>
      </w:r>
    </w:p>
    <w:p w14:paraId="0E95D968" w14:textId="52B825DB" w:rsidR="006B1C7A"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Otro aspecto legal que surgió en esta disputa entre el Grupo Gilinski y el Grupo Empresarial Antioqueño es la emisión del Decreto 0079 de 2024 el cual es definido por algunos agentes </w:t>
      </w:r>
      <w:r w:rsidR="00311125">
        <w:rPr>
          <w:rFonts w:ascii="Times New Roman" w:eastAsia="Times New Roman" w:hAnsi="Times New Roman" w:cs="Times New Roman"/>
          <w:sz w:val="24"/>
          <w:szCs w:val="24"/>
        </w:rPr>
        <w:t>como una</w:t>
      </w:r>
      <w:r>
        <w:rPr>
          <w:rFonts w:ascii="Times New Roman" w:eastAsia="Times New Roman" w:hAnsi="Times New Roman" w:cs="Times New Roman"/>
          <w:sz w:val="24"/>
          <w:szCs w:val="24"/>
        </w:rPr>
        <w:t xml:space="preserve"> herramienta legal importante que contribuye a regular el intercambio de acciones </w:t>
      </w:r>
      <w:r>
        <w:rPr>
          <w:rFonts w:ascii="Times New Roman" w:eastAsia="Times New Roman" w:hAnsi="Times New Roman" w:cs="Times New Roman"/>
          <w:sz w:val="24"/>
          <w:szCs w:val="24"/>
        </w:rPr>
        <w:lastRenderedPageBreak/>
        <w:t>entre actores clave del mercado colombiano, como los Gilinski y el GEA, buscando un balance entre la eficiencia del mercado y la protección de los derechos de los inversionistas.</w:t>
      </w:r>
    </w:p>
    <w:p w14:paraId="25C21FFB" w14:textId="77777777" w:rsidR="006B1C7A"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 bien este Decreto busca potencializar la compra y venta de acciones, la inversión en los mercados colombianos, y la protección de los accionistas minoritarios, han surgido varias críticas alrededor de este tales como, la desventaja hacia la competencia que la implementación de este decreto trae consigo, así como la concentración de poder en grandes empresas lo cual impide el crecimiento de micro y pequeñas empresas y finalmente, la falta de supervisión efectiva.</w:t>
      </w:r>
    </w:p>
    <w:p w14:paraId="2351B8AD" w14:textId="77777777" w:rsidR="006B1C7A"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 base a lo anterior, se puede plantear que, hubo una influencia por parte de estos grupos económicos, sobre las decisiones tomadas por el gobierno, ya que sobre la marcha se emitieron ordenanzas legislativas que permitieron llevar a cabo un conjunto de acciones entre los Gilinski y el GEA, para que se diera en gran medida el principio de Seguridad Jurídica, que plantea que todo lo que no está prohibido está permitido.</w:t>
      </w:r>
    </w:p>
    <w:p w14:paraId="11268C2F" w14:textId="77777777" w:rsidR="006B1C7A" w:rsidRDefault="00000000" w:rsidP="001A582D">
      <w:pPr>
        <w:pStyle w:val="Ttulo2"/>
      </w:pPr>
      <w:bookmarkStart w:id="35" w:name="_Toc189565342"/>
      <w:r>
        <w:t>4.3. Desarrollo de estrategias en la Oferta Pública de Acciones.</w:t>
      </w:r>
      <w:bookmarkEnd w:id="35"/>
    </w:p>
    <w:p w14:paraId="0EDC978E"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uso de estrategias en un mercado en constante cambio, como el mercado accionario y económico, es totalmente indispensable para lograr el éxito en las transacciones y en el cumplimiento de los objetivos planteados. Cada día, empresarios de diferentes sectores se enfrentan a decisiones que pueden influir tanto en sus resultados financieros como en la dinámica del mercado, por esta razón, contar con estrategias claras y efectivas se convierte en un tema de gran relevancia.</w:t>
      </w:r>
    </w:p>
    <w:p w14:paraId="3FAEEA1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de las estrategias más destacadas que han utilizado los Gilinski es la formación de alianzas, especialmente para consolidar su control sobre Nutresa. Su aliado más cercano en este proceso es </w:t>
      </w:r>
      <w:proofErr w:type="spellStart"/>
      <w:r>
        <w:rPr>
          <w:rFonts w:ascii="Times New Roman" w:eastAsia="Times New Roman" w:hAnsi="Times New Roman" w:cs="Times New Roman"/>
          <w:sz w:val="24"/>
          <w:szCs w:val="24"/>
        </w:rPr>
        <w:t>Sheikh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Tahnoon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Zayed</w:t>
      </w:r>
      <w:proofErr w:type="spellEnd"/>
      <w:r>
        <w:rPr>
          <w:rFonts w:ascii="Times New Roman" w:eastAsia="Times New Roman" w:hAnsi="Times New Roman" w:cs="Times New Roman"/>
          <w:sz w:val="24"/>
          <w:szCs w:val="24"/>
        </w:rPr>
        <w:t xml:space="preserve"> Al </w:t>
      </w:r>
      <w:proofErr w:type="spellStart"/>
      <w:r>
        <w:rPr>
          <w:rFonts w:ascii="Times New Roman" w:eastAsia="Times New Roman" w:hAnsi="Times New Roman" w:cs="Times New Roman"/>
          <w:sz w:val="24"/>
          <w:szCs w:val="24"/>
        </w:rPr>
        <w:t>Nahyan</w:t>
      </w:r>
      <w:proofErr w:type="spellEnd"/>
      <w:r>
        <w:rPr>
          <w:rFonts w:ascii="Times New Roman" w:eastAsia="Times New Roman" w:hAnsi="Times New Roman" w:cs="Times New Roman"/>
          <w:sz w:val="24"/>
          <w:szCs w:val="24"/>
        </w:rPr>
        <w:t xml:space="preserve">, como lo menciona Pardo (2023) Este jeque dirige el Royal </w:t>
      </w:r>
      <w:proofErr w:type="spellStart"/>
      <w:r>
        <w:rPr>
          <w:rFonts w:ascii="Times New Roman" w:eastAsia="Times New Roman" w:hAnsi="Times New Roman" w:cs="Times New Roman"/>
          <w:sz w:val="24"/>
          <w:szCs w:val="24"/>
        </w:rPr>
        <w:t>Group</w:t>
      </w:r>
      <w:proofErr w:type="spellEnd"/>
      <w:r>
        <w:rPr>
          <w:rFonts w:ascii="Times New Roman" w:eastAsia="Times New Roman" w:hAnsi="Times New Roman" w:cs="Times New Roman"/>
          <w:sz w:val="24"/>
          <w:szCs w:val="24"/>
        </w:rPr>
        <w:t xml:space="preserve"> de Abu </w:t>
      </w:r>
      <w:proofErr w:type="spellStart"/>
      <w:r>
        <w:rPr>
          <w:rFonts w:ascii="Times New Roman" w:eastAsia="Times New Roman" w:hAnsi="Times New Roman" w:cs="Times New Roman"/>
          <w:sz w:val="24"/>
          <w:szCs w:val="24"/>
        </w:rPr>
        <w:t>Dhabi</w:t>
      </w:r>
      <w:proofErr w:type="spellEnd"/>
      <w:r>
        <w:rPr>
          <w:rFonts w:ascii="Times New Roman" w:eastAsia="Times New Roman" w:hAnsi="Times New Roman" w:cs="Times New Roman"/>
          <w:sz w:val="24"/>
          <w:szCs w:val="24"/>
        </w:rPr>
        <w:t>, que ha colaborado con el Grupo Gilinski en las ofertas por las empresas del GEA. Sin embargo, fue mediante la International Holding Company (</w:t>
      </w:r>
      <w:proofErr w:type="spellStart"/>
      <w:r>
        <w:rPr>
          <w:rFonts w:ascii="Times New Roman" w:eastAsia="Times New Roman" w:hAnsi="Times New Roman" w:cs="Times New Roman"/>
          <w:sz w:val="24"/>
          <w:szCs w:val="24"/>
        </w:rPr>
        <w:t>IHC</w:t>
      </w:r>
      <w:proofErr w:type="spellEnd"/>
      <w:r>
        <w:rPr>
          <w:rFonts w:ascii="Times New Roman" w:eastAsia="Times New Roman" w:hAnsi="Times New Roman" w:cs="Times New Roman"/>
          <w:sz w:val="24"/>
          <w:szCs w:val="24"/>
        </w:rPr>
        <w:t>), que él también preside, que logró adquirir acciones de Nutresa.</w:t>
      </w:r>
    </w:p>
    <w:p w14:paraId="345672F5"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 alianza ayudó a que Gilinski tuviera un apoyo mientras comenzaba a adquirir poco a poco las acciones tanto de Nutresa como de las demás empresas para debilitar el enroque del GEA, pero esta alianza al fin de cuentas no solo beneficiaba a los Gilinski debido a que los árabes también se encontraban en la búsqueda de expandir sus negocios como lo </w:t>
      </w:r>
      <w:r>
        <w:rPr>
          <w:rFonts w:ascii="Times New Roman" w:eastAsia="Times New Roman" w:hAnsi="Times New Roman" w:cs="Times New Roman"/>
          <w:sz w:val="24"/>
          <w:szCs w:val="24"/>
        </w:rPr>
        <w:lastRenderedPageBreak/>
        <w:t>menciona el profesor de la Universidad de Stanford, Javier Mejía Cubillos citado por noticias RCN “el jeque árabe está interesado en adquirir Nutresa para ir asegurando la provisión de alimentos para el país árabe” (Noticias RCN, 2022).</w:t>
      </w:r>
    </w:p>
    <w:p w14:paraId="7384E03E"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Otra de las estrategias empleadas por los Gilinski fue ofrecer una mayor prima en sus ofertas públicas de adquisición (OPAS). Como indican (</w:t>
      </w:r>
      <w:proofErr w:type="spellStart"/>
      <w:r>
        <w:rPr>
          <w:rFonts w:ascii="Times New Roman" w:eastAsia="Times New Roman" w:hAnsi="Times New Roman" w:cs="Times New Roman"/>
          <w:sz w:val="24"/>
          <w:szCs w:val="24"/>
        </w:rPr>
        <w:t>Durá</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et.al</w:t>
      </w:r>
      <w:proofErr w:type="spellEnd"/>
      <w:r>
        <w:rPr>
          <w:rFonts w:ascii="Times New Roman" w:eastAsia="Times New Roman" w:hAnsi="Times New Roman" w:cs="Times New Roman"/>
          <w:sz w:val="24"/>
          <w:szCs w:val="24"/>
        </w:rPr>
        <w:t xml:space="preserve">, 2012), esta táctica busca captar la atención de los accionistas y asegurar que la oferta sea bien recibida por su parte, lo que permite alcanzar con eficacia los objetivos de adquisición. Aunque los autores señalan que esta estrategia no siempre garantiza resultados concluyentes, puede considerarse una inversión estratégica para lograr las metas establecidas y como se vio en el transcurso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emitidas el valor de las acciones superaba por mucho el valor que se encontraba en la Bolsa de Valores lo cual termina siendo llamativo para los accionistas.</w:t>
      </w:r>
    </w:p>
    <w:p w14:paraId="4B9B900D"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un aspecto que resulta determinante y estratégico en cualquier disputa económica, social y política es el entorno en donde esta se desarrolla, el nivel de información con la que cuenta cada uno de los agentes y de aquellos participantes directos e indirectos en la transacción, el contexto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no es ajeno a esta premisa por lo que, una de las estrategias empleadas por el Grupo Gilinski involucró a uno de los medios de comunicación más importantes del país, pues desde el año 2020 este adquiere el 100% de los derechos accionarios de la Revista Semana, quienes en su momento ocupaban la cuarta posición en medios de comunicación con mayor alcance en el país, transformándolo en un medio influyente no solo en el formato impreso sino también en el medio digital (Mariño, 2020).</w:t>
      </w:r>
    </w:p>
    <w:p w14:paraId="29F2215C"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 supuso una estrategia en la obtención de los objetivos con la emisión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ya que la información que transmite este medio de comunicación se encuentra parcialmente influenciada en beneficio de sus propietarios, suscitando entre sus lectores que el Grupo Empresarial Antioqueño fue vencido en varias ocasiones por el Grupo Gilinski; además, promover y posicionar una buena reputación de este último.</w:t>
      </w:r>
    </w:p>
    <w:p w14:paraId="48F689B5"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Lo cual influyó notablemente en el campo mediático que rodeó esta transacción económica, en los espectadores y partes relacionadas de las empresas sobre las que se emitieron las Ofertas Públicas de Acciones.</w:t>
      </w:r>
    </w:p>
    <w:p w14:paraId="350DC2F1"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orden de ideas, a través de este tipo de canales dejaron en evidencia otra estrategia determinante en la emisión de las OPAS, esta está relacionada con la presión que ejercieron sobre la junta directiva a través del rol o deber fiduciario que estos tenían con los </w:t>
      </w:r>
      <w:r>
        <w:rPr>
          <w:rFonts w:ascii="Times New Roman" w:eastAsia="Times New Roman" w:hAnsi="Times New Roman" w:cs="Times New Roman"/>
          <w:sz w:val="24"/>
          <w:szCs w:val="24"/>
        </w:rPr>
        <w:lastRenderedPageBreak/>
        <w:t>accionistas minoritarios, para de esta manera lograr que estos accedieron a aceptar la Oferta y permitir que estos vendieran las acciones que tenían en las empresas.</w:t>
      </w:r>
    </w:p>
    <w:p w14:paraId="6BFC5763" w14:textId="41EA3303"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Tanto así que la revista Semana publicó una serie de especulaciones en donde se afirmaba que </w:t>
      </w:r>
      <w:r w:rsidR="00311125">
        <w:rPr>
          <w:rFonts w:ascii="Times New Roman" w:eastAsia="Times New Roman" w:hAnsi="Times New Roman" w:cs="Times New Roman"/>
          <w:sz w:val="24"/>
          <w:szCs w:val="24"/>
        </w:rPr>
        <w:t>había</w:t>
      </w:r>
      <w:r>
        <w:rPr>
          <w:rFonts w:ascii="Times New Roman" w:eastAsia="Times New Roman" w:hAnsi="Times New Roman" w:cs="Times New Roman"/>
          <w:sz w:val="24"/>
          <w:szCs w:val="24"/>
        </w:rPr>
        <w:t xml:space="preserve"> probabilidades de acusaciones legales en caso de que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no fueran exitosas:</w:t>
      </w:r>
    </w:p>
    <w:p w14:paraId="4AB167E0"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“SEMANA conoció que hay un grupo de accionistas minoritarios y de pensionados que demandaría a los directivos del GEA y a sus compañías, así como a los administradores de los fondos de pensiones, en caso de que no vendan sus acciones en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por Nutresa y Sura” (Semana, 2022).</w:t>
      </w:r>
    </w:p>
    <w:p w14:paraId="12EAE068"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Así mismo, enfatizó en la responsabilidad de los entes de control financiero de velar porque el Grupo Empresarial Antioqueño no actuará como grupo económico favoreciendo a algunos accionistas y desconociendo los derechos de los otros partícipes; esta acción representa una manera de captar atención de los participantes y espectadores del hecho económico (Semana, 2022).</w:t>
      </w:r>
    </w:p>
    <w:p w14:paraId="57AFBC10"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mercado y las autoridades están muy atentos a que el GEA no actúe como grupo económico. La Superintendencia Financiera de Colombia y demás entes de control tienen la obligación de hacer cumplir la ley de conglomerados financieros.”</w:t>
      </w:r>
    </w:p>
    <w:p w14:paraId="0BCE9A31" w14:textId="2A4832D3" w:rsidR="006B1C7A" w:rsidRPr="001A582D" w:rsidRDefault="00311125" w:rsidP="001A582D">
      <w:pPr>
        <w:pStyle w:val="Ttulo1"/>
        <w:numPr>
          <w:ilvl w:val="0"/>
          <w:numId w:val="2"/>
        </w:numPr>
      </w:pPr>
      <w:bookmarkStart w:id="36" w:name="_Toc189565343"/>
      <w:r w:rsidRPr="001A582D">
        <w:t>Discusión y Conclusiones</w:t>
      </w:r>
      <w:bookmarkEnd w:id="36"/>
    </w:p>
    <w:p w14:paraId="0FFDFE4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conclusión, la modificación de la estructura accionaria en una empresa de un grupo económico, como se evidenció en el caso mencionado anteriormente, tiene efectos significativos en las demás empresas del mismo grupo. El enroque accionario del Grupo Empresarial Antioqueño no solo se vio afectado por los cambios en Nutresa, sino que también influyó en la toma de decisiones de las otras empresas como lo fue en Sura y Argos, facilitando la adquisición de participaciones significativas en ellas.</w:t>
      </w:r>
    </w:p>
    <w:p w14:paraId="1E0FBCC9" w14:textId="063BA387" w:rsidR="006B1C7A" w:rsidRDefault="00000000">
      <w:pPr>
        <w:spacing w:before="240" w:after="240" w:line="36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Este caso da a conocer la interconexión y la fragilidad de las relaciones dentro de los grupos empresariales, mostrando la necesidad de un </w:t>
      </w:r>
      <w:r w:rsidR="00311125">
        <w:rPr>
          <w:rFonts w:ascii="Times New Roman" w:eastAsia="Times New Roman" w:hAnsi="Times New Roman" w:cs="Times New Roman"/>
          <w:sz w:val="24"/>
          <w:szCs w:val="24"/>
        </w:rPr>
        <w:t>desarrollo estratégico</w:t>
      </w:r>
      <w:r>
        <w:rPr>
          <w:rFonts w:ascii="Times New Roman" w:eastAsia="Times New Roman" w:hAnsi="Times New Roman" w:cs="Times New Roman"/>
          <w:sz w:val="24"/>
          <w:szCs w:val="24"/>
        </w:rPr>
        <w:t xml:space="preserve"> cuidadoso, y evidenciando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aunque el enroque empresarial y accionario es una gran forma de cuidarse entre las empresas también es un riesgo cuando una de estas se ve impactada desde su estructura.</w:t>
      </w:r>
    </w:p>
    <w:p w14:paraId="5CCA3532"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este orden de ideas, para que tal enroque accionario fuera efectivo y permitiera que las partes involucradas se protegieran fue necesario emplear una figura de control, la cual permite aseverar que el gobierno tiene falencias y/o sesgos, en la regulación y supervisión de las actividades de los grupos económicos, esto permitió que los principales accionistas de las empresas a las que se les emitieron las ofertas fueran quienes tomaron las decisiones a través de la junta directa, dejando a un lado, los intereses de los accionistas minoritarios y de las demás partes relacionados, esto demuestra además que en la dinámica empresarial colombiana es necesario adaptar eficientemente lo propuesto en la teoría de la agencia y de los stakeholders para encontrar un enfoque equilibrado y disipar la inequidad en estos hechos económicos.</w:t>
      </w:r>
      <w:r>
        <w:rPr>
          <w:rFonts w:ascii="Times New Roman" w:eastAsia="Times New Roman" w:hAnsi="Times New Roman" w:cs="Times New Roman"/>
          <w:sz w:val="24"/>
          <w:szCs w:val="24"/>
        </w:rPr>
        <w:tab/>
      </w:r>
    </w:p>
    <w:p w14:paraId="5467B89F" w14:textId="005529F0"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w:t>
      </w:r>
      <w:r w:rsidR="00311125">
        <w:rPr>
          <w:rFonts w:ascii="Times New Roman" w:eastAsia="Times New Roman" w:hAnsi="Times New Roman" w:cs="Times New Roman"/>
          <w:sz w:val="24"/>
          <w:szCs w:val="24"/>
        </w:rPr>
        <w:t>parte,</w:t>
      </w:r>
      <w:r>
        <w:rPr>
          <w:rFonts w:ascii="Times New Roman" w:eastAsia="Times New Roman" w:hAnsi="Times New Roman" w:cs="Times New Roman"/>
          <w:sz w:val="24"/>
          <w:szCs w:val="24"/>
        </w:rPr>
        <w:t xml:space="preserve"> se reconoce que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lanzadas para adquirir Nutresa tuvieron un carácter hostil debido a la oposición de los administradores, quienes no querían vender la compañía ni permitir que los accionistas minoritarios lo hicieran. Sin embargo, los administradores deben velar por el bienestar de sus accionistas, lo que implica no interferir en sus decisiones y permitirles beneficiarse de ofertas atractivas. Aunque defendieron el control de la empresa, su principal responsabilidad es actuar en el interés de los accionistas.</w:t>
      </w:r>
    </w:p>
    <w:p w14:paraId="2A229676"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los acontecimientos recientes entre estos grupos económicos ponen de manifiesto ciertos aspectos del ordenamiento nacional que requieren un análisis exhaustivo. Es innegable que el gobierno desempeña un papel crucial en la economía como agente estabilizador, asegurando que todos los actores económicos cuenten con los recursos necesarios para llevar a cabo sus actividades. Sin embargo, este rol no debe estar subordinado a los intereses o acuerdos promovidos por un sector económico o un grupo específico. Por lo tanto, es esencial investigar la influencia que la economía ejerce actualmente sobre la política y la gobernanza, dado que los lineamientos legislativos deben ser definidos por el máximo órgano administrativo y no por agentes económicos; ya que hay quienes sostienen que el control gubernamental en la economía limita la libertad de los emprendedores y empresarios, restringiendo su capacidad para tomar decisiones y adaptarse a las dinámicas del mercado, pero en este caso, las dinámicas de estos grupos determinaron la regulación normativa y financiera.</w:t>
      </w:r>
    </w:p>
    <w:p w14:paraId="0BF2F986"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entre las estrategias desarrolladas por los Gilinski, se destaca, en primer lugar, el manejo sesgado que dieron a los medios de comunicación, buscando siempre beneficiarse de las noticias del día a día. Por otro lado, es relevante la forma en que fueron </w:t>
      </w:r>
      <w:r>
        <w:rPr>
          <w:rFonts w:ascii="Times New Roman" w:eastAsia="Times New Roman" w:hAnsi="Times New Roman" w:cs="Times New Roman"/>
          <w:sz w:val="24"/>
          <w:szCs w:val="24"/>
        </w:rPr>
        <w:lastRenderedPageBreak/>
        <w:t xml:space="preserve">adquiriendo gradualmente acciones de Nutresa y de otras empresas, lo que generó incertidumbre en el mercado sobre sus verdaderas intenciones y cuál era la empresa que realmente deseaban adquirir. En consecuencia, no se puede dejar de lado la importancia del jeque árabe y las incógnitas que surgen respecto a su intención no sólo </w:t>
      </w:r>
      <w:proofErr w:type="gramStart"/>
      <w:r>
        <w:rPr>
          <w:rFonts w:ascii="Times New Roman" w:eastAsia="Times New Roman" w:hAnsi="Times New Roman" w:cs="Times New Roman"/>
          <w:sz w:val="24"/>
          <w:szCs w:val="24"/>
        </w:rPr>
        <w:t>en relación a</w:t>
      </w:r>
      <w:proofErr w:type="gramEnd"/>
      <w:r>
        <w:rPr>
          <w:rFonts w:ascii="Times New Roman" w:eastAsia="Times New Roman" w:hAnsi="Times New Roman" w:cs="Times New Roman"/>
          <w:sz w:val="24"/>
          <w:szCs w:val="24"/>
        </w:rPr>
        <w:t xml:space="preserve"> Nutresa, sino también sobre su deseo de lograr el control dentro del mercado colombiano.</w:t>
      </w:r>
    </w:p>
    <w:p w14:paraId="035B3631"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los Gilinski, la importancia de las estrategias siempre ha estado clara, a pesar de la especulación de los medios de comunicación y otros empresarios sobre sus intenciones, cada paso que dieron estaba cuidadosamente calculado para alcanzar el resultado que finalmente lograron, es decir, cada movimiento en el mercado estaba diseñado para acercarlos a sus objetivos de manera gradual.</w:t>
      </w:r>
    </w:p>
    <w:p w14:paraId="5D3AA53B" w14:textId="77777777" w:rsidR="006B1C7A" w:rsidRDefault="00000000">
      <w:pPr>
        <w:spacing w:before="240"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comportamiento de los grupos económicos colombianos debe seguirse estudiando de manera detallada para identificar características comunes entre estos y el impacto que esto puede tener en las partes relacionadas y en el mercado en general, así mismo, debe ser objeto de estudio la transformación que se espera tenga la empresa Nutresa con sus nuevos accionistas y el impacto social y económico que esto trae consigo. </w:t>
      </w:r>
    </w:p>
    <w:p w14:paraId="23FE170A" w14:textId="2194359B" w:rsidR="006B1C7A" w:rsidRDefault="00000000" w:rsidP="001A582D">
      <w:pPr>
        <w:pStyle w:val="Ttulo1"/>
        <w:numPr>
          <w:ilvl w:val="0"/>
          <w:numId w:val="2"/>
        </w:numPr>
      </w:pPr>
      <w:bookmarkStart w:id="37" w:name="_Toc189565344"/>
      <w:r>
        <w:t>Referencias Bibliográficas</w:t>
      </w:r>
      <w:bookmarkEnd w:id="37"/>
    </w:p>
    <w:p w14:paraId="65C6A4BC"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Aguirre, M. (2007). La toma de control de las sociedades en los mecanismos de mercado de valores. [Trabajo de Maestría en Derecho Financiero, Bursátil y de Seguros, Universidad Andina Simón Bolívar, Ecuador].</w:t>
      </w:r>
    </w:p>
    <w:p w14:paraId="10AAB2CA"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Becerra, B. (2023). Nutresa queda con un activo de $7 billones y $6 billones de patrimonio tras escisión. </w:t>
      </w:r>
      <w:hyperlink r:id="rId24">
        <w:r w:rsidR="006B1C7A">
          <w:rPr>
            <w:rFonts w:ascii="Times New Roman" w:eastAsia="Times New Roman" w:hAnsi="Times New Roman" w:cs="Times New Roman"/>
            <w:sz w:val="24"/>
            <w:szCs w:val="24"/>
            <w:u w:val="single"/>
          </w:rPr>
          <w:t>https://www.larepublica.co/finanzas/nutresa-queda-con-un-activo-de-7-billones-y-6-billones-de-patrimonio-tras-escision-3768481</w:t>
        </w:r>
      </w:hyperlink>
    </w:p>
    <w:p w14:paraId="7F99B7D6"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Botero, L. (2024). Gilinski se queda con mayoría de Grupo Nutresa tras cierre de última OPA. Artículo de Valora </w:t>
      </w:r>
      <w:proofErr w:type="spellStart"/>
      <w:r>
        <w:rPr>
          <w:rFonts w:ascii="Times New Roman" w:eastAsia="Times New Roman" w:hAnsi="Times New Roman" w:cs="Times New Roman"/>
          <w:sz w:val="24"/>
          <w:szCs w:val="24"/>
        </w:rPr>
        <w:t>Analitik</w:t>
      </w:r>
      <w:proofErr w:type="spellEnd"/>
      <w:r>
        <w:rPr>
          <w:rFonts w:ascii="Times New Roman" w:eastAsia="Times New Roman" w:hAnsi="Times New Roman" w:cs="Times New Roman"/>
          <w:sz w:val="24"/>
          <w:szCs w:val="24"/>
        </w:rPr>
        <w:t xml:space="preserve">. </w:t>
      </w:r>
      <w:hyperlink r:id="rId25" w:anchor=":~:text=Este%20mi%C3%A9rcoles%2C%203%20de%20abril,Sura%2C%20Grupo%20Argos%20y%20Gilinski">
        <w:r w:rsidR="006B1C7A">
          <w:rPr>
            <w:rFonts w:ascii="Times New Roman" w:eastAsia="Times New Roman" w:hAnsi="Times New Roman" w:cs="Times New Roman"/>
            <w:sz w:val="24"/>
            <w:szCs w:val="24"/>
            <w:u w:val="single"/>
          </w:rPr>
          <w:t>https://www.valoraanalitik.com/gilinski-se-queda-con-994-de-grupo-nutresa-tras-cierre-de-ultima-opa/#:~:text=Este%20mi%C3%A9rcoles%2C%203%20de%20abril,Sura%2C%20Grupo%20Argos%20y%20Gilinski</w:t>
        </w:r>
      </w:hyperlink>
      <w:r>
        <w:rPr>
          <w:rFonts w:ascii="Times New Roman" w:eastAsia="Times New Roman" w:hAnsi="Times New Roman" w:cs="Times New Roman"/>
          <w:sz w:val="24"/>
          <w:szCs w:val="24"/>
        </w:rPr>
        <w:t>.</w:t>
      </w:r>
    </w:p>
    <w:p w14:paraId="472E7F62"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Botero, S. (2022). Ofertas públicas de acciones de Gilinski por Nutresa y sura: inicio de una nueva etapa en la historia del grupo empresarial antioqueño. Facultad de Minas, Revista </w:t>
      </w:r>
      <w:proofErr w:type="spellStart"/>
      <w:r>
        <w:rPr>
          <w:rFonts w:ascii="Times New Roman" w:eastAsia="Times New Roman" w:hAnsi="Times New Roman" w:cs="Times New Roman"/>
          <w:sz w:val="24"/>
          <w:szCs w:val="24"/>
        </w:rPr>
        <w:t>IO2</w:t>
      </w:r>
      <w:proofErr w:type="spellEnd"/>
      <w:r>
        <w:rPr>
          <w:rFonts w:ascii="Times New Roman" w:eastAsia="Times New Roman" w:hAnsi="Times New Roman" w:cs="Times New Roman"/>
          <w:sz w:val="24"/>
          <w:szCs w:val="24"/>
        </w:rPr>
        <w:t xml:space="preserve">. </w:t>
      </w:r>
    </w:p>
    <w:p w14:paraId="5DD9A924"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Cajamarca, I. (2022). Gabriel Gilinski entró oficialmente a conformar Junta Directiva de Nutresa tras votación. Artículo de La República. </w:t>
      </w:r>
      <w:hyperlink r:id="rId26">
        <w:r w:rsidR="006B1C7A">
          <w:rPr>
            <w:rFonts w:ascii="Times New Roman" w:eastAsia="Times New Roman" w:hAnsi="Times New Roman" w:cs="Times New Roman"/>
            <w:sz w:val="24"/>
            <w:szCs w:val="24"/>
            <w:u w:val="single"/>
          </w:rPr>
          <w:t>https://www.larepublica.co/especiales/opa-por-nutresa/gabriel-gilinski-entro-oficialmente-a-conformar-junta-directiva-de-nutresa-tras-votacion-3327454</w:t>
        </w:r>
      </w:hyperlink>
    </w:p>
    <w:p w14:paraId="023AC26B"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Cano, J. (2013). Grupo Empresarial Antioqueño: Tradición y Poder dentro del Estado. [Tesis de grado en Derecho y Ciencias Políticas, Universidad Pontificia Bolivariana, Colombia].</w:t>
      </w:r>
    </w:p>
    <w:p w14:paraId="23412B69"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Chavarín Rodríguez, Rubén. (2011). Los grupos económicos en México a partir de una tipología de arquitectura y gobierno corporativos. Una revisión de sus explicaciones teóricas. </w:t>
      </w:r>
      <w:r>
        <w:rPr>
          <w:rFonts w:ascii="Times New Roman" w:eastAsia="Times New Roman" w:hAnsi="Times New Roman" w:cs="Times New Roman"/>
          <w:i/>
          <w:sz w:val="24"/>
          <w:szCs w:val="24"/>
        </w:rPr>
        <w:t>El trimestre económico</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78</w:t>
      </w:r>
      <w:r>
        <w:rPr>
          <w:rFonts w:ascii="Times New Roman" w:eastAsia="Times New Roman" w:hAnsi="Times New Roman" w:cs="Times New Roman"/>
          <w:sz w:val="24"/>
          <w:szCs w:val="24"/>
        </w:rPr>
        <w:t xml:space="preserve">(309), 193-234. Recuperado en 31 de octubre de 2024, de </w:t>
      </w:r>
      <w:hyperlink r:id="rId27">
        <w:r w:rsidR="006B1C7A">
          <w:rPr>
            <w:rFonts w:ascii="Times New Roman" w:eastAsia="Times New Roman" w:hAnsi="Times New Roman" w:cs="Times New Roman"/>
            <w:sz w:val="24"/>
            <w:szCs w:val="24"/>
            <w:u w:val="single"/>
          </w:rPr>
          <w:t>http://www.scielo.org.mx/scielo.php?script=sci_arttext&amp;pid=S2448-718X2011000100193&amp;lng=es&amp;tlng=es</w:t>
        </w:r>
      </w:hyperlink>
      <w:r>
        <w:rPr>
          <w:rFonts w:ascii="Times New Roman" w:eastAsia="Times New Roman" w:hAnsi="Times New Roman" w:cs="Times New Roman"/>
          <w:sz w:val="24"/>
          <w:szCs w:val="24"/>
        </w:rPr>
        <w:t>.</w:t>
      </w:r>
    </w:p>
    <w:p w14:paraId="162B18E4"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Chiavenato, I. (2019). Introducción a la teoría general de la administración. McGraw-Hill. Consultado en línea en la Biblioteca Digital de Bogotá (</w:t>
      </w:r>
      <w:hyperlink r:id="rId28">
        <w:r w:rsidR="006B1C7A">
          <w:rPr>
            <w:rFonts w:ascii="Times New Roman" w:eastAsia="Times New Roman" w:hAnsi="Times New Roman" w:cs="Times New Roman"/>
            <w:sz w:val="24"/>
            <w:szCs w:val="24"/>
            <w:u w:val="single"/>
          </w:rPr>
          <w:t>https://www.bibliotecadigitaldebogota.gov.co/resources/3608253/</w:t>
        </w:r>
      </w:hyperlink>
      <w:r>
        <w:rPr>
          <w:rFonts w:ascii="Times New Roman" w:eastAsia="Times New Roman" w:hAnsi="Times New Roman" w:cs="Times New Roman"/>
          <w:sz w:val="24"/>
          <w:szCs w:val="24"/>
        </w:rPr>
        <w:t>).</w:t>
      </w:r>
    </w:p>
    <w:p w14:paraId="0E66A0B9"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Decreto 0079 de 2024. Presidencia de la República de Colombia.</w:t>
      </w:r>
    </w:p>
    <w:p w14:paraId="12308E09"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Díaz, D., y Pérez, P. (2023</w:t>
      </w:r>
      <w:proofErr w:type="gramStart"/>
      <w:r>
        <w:rPr>
          <w:rFonts w:ascii="Times New Roman" w:eastAsia="Times New Roman" w:hAnsi="Times New Roman" w:cs="Times New Roman"/>
          <w:sz w:val="24"/>
          <w:szCs w:val="24"/>
        </w:rPr>
        <w:t>).Historia</w:t>
      </w:r>
      <w:proofErr w:type="gramEnd"/>
      <w:r>
        <w:rPr>
          <w:rFonts w:ascii="Times New Roman" w:eastAsia="Times New Roman" w:hAnsi="Times New Roman" w:cs="Times New Roman"/>
          <w:sz w:val="24"/>
          <w:szCs w:val="24"/>
        </w:rPr>
        <w:t xml:space="preserve"> de las ofertas públicas de adquisición en Colombia y su relación con el entorno macroeconómico. [Trabajo de Maestría en Administración Financiera, Universidad EAFIT, Colombia]. </w:t>
      </w:r>
    </w:p>
    <w:p w14:paraId="6BC5A4EA"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Durá</w:t>
      </w:r>
      <w:proofErr w:type="spellEnd"/>
      <w:r>
        <w:rPr>
          <w:rFonts w:ascii="Times New Roman" w:eastAsia="Times New Roman" w:hAnsi="Times New Roman" w:cs="Times New Roman"/>
          <w:sz w:val="24"/>
          <w:szCs w:val="24"/>
        </w:rPr>
        <w:t xml:space="preserve">, P., y Pérez, I. (2012). ¿Es relevante la prima ofrecida en una OPA en las decisiones de venta de los accionistas? Universia Business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 xml:space="preserve"> 35. </w:t>
      </w:r>
    </w:p>
    <w:p w14:paraId="1854A750"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Estrada, </w:t>
      </w:r>
      <w:proofErr w:type="gramStart"/>
      <w:r>
        <w:rPr>
          <w:rFonts w:ascii="Times New Roman" w:eastAsia="Times New Roman" w:hAnsi="Times New Roman" w:cs="Times New Roman"/>
          <w:sz w:val="24"/>
          <w:szCs w:val="24"/>
        </w:rPr>
        <w:t>Cristiana</w:t>
      </w:r>
      <w:proofErr w:type="gramEnd"/>
      <w:r>
        <w:rPr>
          <w:rFonts w:ascii="Times New Roman" w:eastAsia="Times New Roman" w:hAnsi="Times New Roman" w:cs="Times New Roman"/>
          <w:sz w:val="24"/>
          <w:szCs w:val="24"/>
        </w:rPr>
        <w:t>. (2022). Seis compañías del GEA representaron casi un siete por ciento del PIB Nacional para el año pasado</w:t>
      </w:r>
      <w:r>
        <w:rPr>
          <w:rFonts w:ascii="Times New Roman" w:eastAsia="Times New Roman" w:hAnsi="Times New Roman" w:cs="Times New Roman"/>
          <w:sz w:val="24"/>
          <w:szCs w:val="24"/>
          <w:u w:val="single"/>
        </w:rPr>
        <w:t>.</w:t>
      </w:r>
      <w:hyperlink r:id="rId29">
        <w:r w:rsidR="006B1C7A">
          <w:rPr>
            <w:rFonts w:ascii="Times New Roman" w:eastAsia="Times New Roman" w:hAnsi="Times New Roman" w:cs="Times New Roman"/>
            <w:sz w:val="24"/>
            <w:szCs w:val="24"/>
            <w:u w:val="single"/>
          </w:rPr>
          <w:t>https://www.larepublica.co/finanzas/companias-del-grupo-empresarial-antioqueno-representan-casi-7-del-pib-nacional-347008</w:t>
        </w:r>
      </w:hyperlink>
    </w:p>
    <w:p w14:paraId="02A356BF"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Federación Iberoamericana de Bolsas. (s.f.). Bolsa de Valores de Colombia. </w:t>
      </w:r>
      <w:hyperlink r:id="rId30">
        <w:r w:rsidR="006B1C7A">
          <w:rPr>
            <w:rFonts w:ascii="Times New Roman" w:eastAsia="Times New Roman" w:hAnsi="Times New Roman" w:cs="Times New Roman"/>
            <w:sz w:val="24"/>
            <w:szCs w:val="24"/>
            <w:u w:val="single"/>
          </w:rPr>
          <w:t>https://handbook.fiabnet.org/bolsa-de-valores-de-colombia/</w:t>
        </w:r>
      </w:hyperlink>
    </w:p>
    <w:p w14:paraId="4F439715"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Gaggero</w:t>
      </w:r>
      <w:proofErr w:type="spellEnd"/>
      <w:r>
        <w:rPr>
          <w:rFonts w:ascii="Times New Roman" w:eastAsia="Times New Roman" w:hAnsi="Times New Roman" w:cs="Times New Roman"/>
          <w:sz w:val="24"/>
          <w:szCs w:val="24"/>
        </w:rPr>
        <w:t xml:space="preserve">, Alejandro. (2012). La retirada de los grupos económicos argentinos durante la crisis y salida del régimen de convertibilidad. </w:t>
      </w:r>
      <w:r>
        <w:rPr>
          <w:rFonts w:ascii="Times New Roman" w:eastAsia="Times New Roman" w:hAnsi="Times New Roman" w:cs="Times New Roman"/>
          <w:i/>
          <w:sz w:val="24"/>
          <w:szCs w:val="24"/>
        </w:rPr>
        <w:t>Instituto de Desarrollo Económico y Social. Desarrollo Económico; 52(</w:t>
      </w:r>
      <w:r>
        <w:rPr>
          <w:rFonts w:ascii="Times New Roman" w:eastAsia="Times New Roman" w:hAnsi="Times New Roman" w:cs="Times New Roman"/>
          <w:sz w:val="24"/>
          <w:szCs w:val="24"/>
        </w:rPr>
        <w:t>206), pp. 229-254</w:t>
      </w:r>
    </w:p>
    <w:p w14:paraId="6F07D539"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Galindo, A. (2021). Qué y quiénes son el grupo Gilinski, el conglomerado que va a por el GEA. </w:t>
      </w:r>
      <w:hyperlink r:id="rId31">
        <w:r w:rsidR="006B1C7A">
          <w:rPr>
            <w:rFonts w:ascii="Times New Roman" w:eastAsia="Times New Roman" w:hAnsi="Times New Roman" w:cs="Times New Roman"/>
            <w:sz w:val="24"/>
            <w:szCs w:val="24"/>
            <w:u w:val="single"/>
          </w:rPr>
          <w:t>https://colombia.as.com/colombia/2021/12/04/actualidad/1638653393_041404.html_</w:t>
        </w:r>
      </w:hyperlink>
    </w:p>
    <w:p w14:paraId="1A8BDF53"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Ganga Contreras, F., Quiroz Castillo, J., &amp; </w:t>
      </w:r>
      <w:proofErr w:type="spellStart"/>
      <w:r>
        <w:rPr>
          <w:rFonts w:ascii="Times New Roman" w:eastAsia="Times New Roman" w:hAnsi="Times New Roman" w:cs="Times New Roman"/>
          <w:sz w:val="24"/>
          <w:szCs w:val="24"/>
        </w:rPr>
        <w:t>Maluk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Uriguen</w:t>
      </w:r>
      <w:proofErr w:type="spellEnd"/>
      <w:r>
        <w:rPr>
          <w:rFonts w:ascii="Times New Roman" w:eastAsia="Times New Roman" w:hAnsi="Times New Roman" w:cs="Times New Roman"/>
          <w:sz w:val="24"/>
          <w:szCs w:val="24"/>
        </w:rPr>
        <w:t xml:space="preserve">, S. A.  (2015). ¿QUÉ HAY DE NUEVO EN LA TEORÍA DE AGENCIA (TA)?  Algunos trabajos teóricos y empíricos aplicados a las organizaciones. Prisma </w:t>
      </w:r>
      <w:proofErr w:type="gramStart"/>
      <w:r>
        <w:rPr>
          <w:rFonts w:ascii="Times New Roman" w:eastAsia="Times New Roman" w:hAnsi="Times New Roman" w:cs="Times New Roman"/>
          <w:sz w:val="24"/>
          <w:szCs w:val="24"/>
        </w:rPr>
        <w:t>Social,  (</w:t>
      </w:r>
      <w:proofErr w:type="gramEnd"/>
      <w:r>
        <w:rPr>
          <w:rFonts w:ascii="Times New Roman" w:eastAsia="Times New Roman" w:hAnsi="Times New Roman" w:cs="Times New Roman"/>
          <w:sz w:val="24"/>
          <w:szCs w:val="24"/>
        </w:rPr>
        <w:t>15), 685-707.</w:t>
      </w:r>
    </w:p>
    <w:p w14:paraId="0303311F"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García Garnica, Alejandro, &amp; Taboada Ibarra, Eunice Leticia. (2012). Teoría de la empresa: las propuestas de Coase, </w:t>
      </w:r>
      <w:proofErr w:type="spellStart"/>
      <w:r>
        <w:rPr>
          <w:rFonts w:ascii="Times New Roman" w:eastAsia="Times New Roman" w:hAnsi="Times New Roman" w:cs="Times New Roman"/>
          <w:sz w:val="24"/>
          <w:szCs w:val="24"/>
        </w:rPr>
        <w:t>Alchian</w:t>
      </w:r>
      <w:proofErr w:type="spellEnd"/>
      <w:r>
        <w:rPr>
          <w:rFonts w:ascii="Times New Roman" w:eastAsia="Times New Roman" w:hAnsi="Times New Roman" w:cs="Times New Roman"/>
          <w:sz w:val="24"/>
          <w:szCs w:val="24"/>
        </w:rPr>
        <w:t xml:space="preserve"> y </w:t>
      </w:r>
      <w:proofErr w:type="spellStart"/>
      <w:r>
        <w:rPr>
          <w:rFonts w:ascii="Times New Roman" w:eastAsia="Times New Roman" w:hAnsi="Times New Roman" w:cs="Times New Roman"/>
          <w:sz w:val="24"/>
          <w:szCs w:val="24"/>
        </w:rPr>
        <w:t>Demsetz</w:t>
      </w:r>
      <w:proofErr w:type="spellEnd"/>
      <w:r>
        <w:rPr>
          <w:rFonts w:ascii="Times New Roman" w:eastAsia="Times New Roman" w:hAnsi="Times New Roman" w:cs="Times New Roman"/>
          <w:sz w:val="24"/>
          <w:szCs w:val="24"/>
        </w:rPr>
        <w:t xml:space="preserve">, Williamson, Penrose y </w:t>
      </w:r>
      <w:proofErr w:type="spellStart"/>
      <w:r>
        <w:rPr>
          <w:rFonts w:ascii="Times New Roman" w:eastAsia="Times New Roman" w:hAnsi="Times New Roman" w:cs="Times New Roman"/>
          <w:sz w:val="24"/>
          <w:szCs w:val="24"/>
        </w:rPr>
        <w:t>Nooteboom</w:t>
      </w:r>
      <w:proofErr w:type="spellEnd"/>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Economía: teoría y práctica</w:t>
      </w:r>
      <w:r>
        <w:rPr>
          <w:rFonts w:ascii="Times New Roman" w:eastAsia="Times New Roman" w:hAnsi="Times New Roman" w:cs="Times New Roman"/>
          <w:sz w:val="24"/>
          <w:szCs w:val="24"/>
        </w:rPr>
        <w:t xml:space="preserve">, (36), 9-42. Recuperado en 01 de noviembre de 2024, de </w:t>
      </w:r>
      <w:hyperlink r:id="rId32">
        <w:r w:rsidR="006B1C7A">
          <w:rPr>
            <w:rFonts w:ascii="Times New Roman" w:eastAsia="Times New Roman" w:hAnsi="Times New Roman" w:cs="Times New Roman"/>
            <w:sz w:val="24"/>
            <w:szCs w:val="24"/>
            <w:u w:val="single"/>
          </w:rPr>
          <w:t>http://www.scielo.org.mx/scielo.php?script=sci_arttext&amp;pid=S0188-33802012000100002&amp;lng=es&amp;tlng=es</w:t>
        </w:r>
      </w:hyperlink>
      <w:r>
        <w:rPr>
          <w:rFonts w:ascii="Times New Roman" w:eastAsia="Times New Roman" w:hAnsi="Times New Roman" w:cs="Times New Roman"/>
          <w:sz w:val="24"/>
          <w:szCs w:val="24"/>
        </w:rPr>
        <w:t>.</w:t>
      </w:r>
    </w:p>
    <w:p w14:paraId="2C802E0E"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C.  (2023).  La otra cara del control: ¿está obligado el accionista controlante de aquella sociedad sobre la cual se formula una OPA a vender cuando el precio favorece a los demás accionistas? Universidad de los Andes.  Disponible en: </w:t>
      </w:r>
      <w:hyperlink r:id="rId33">
        <w:r w:rsidR="006B1C7A">
          <w:rPr>
            <w:rFonts w:ascii="Times New Roman" w:eastAsia="Times New Roman" w:hAnsi="Times New Roman" w:cs="Times New Roman"/>
            <w:sz w:val="24"/>
            <w:szCs w:val="24"/>
            <w:u w:val="single"/>
          </w:rPr>
          <w:t>https://hdl.handle.net/1992/74010</w:t>
        </w:r>
      </w:hyperlink>
    </w:p>
    <w:p w14:paraId="4C73A6FB"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González, H. (2010). </w:t>
      </w:r>
      <w:proofErr w:type="spellStart"/>
      <w:r>
        <w:rPr>
          <w:rFonts w:ascii="Times New Roman" w:eastAsia="Times New Roman" w:hAnsi="Times New Roman" w:cs="Times New Roman"/>
          <w:sz w:val="24"/>
          <w:szCs w:val="24"/>
        </w:rPr>
        <w:t>StakeHolders</w:t>
      </w:r>
      <w:proofErr w:type="spellEnd"/>
      <w:r>
        <w:rPr>
          <w:rFonts w:ascii="Times New Roman" w:eastAsia="Times New Roman" w:hAnsi="Times New Roman" w:cs="Times New Roman"/>
          <w:sz w:val="24"/>
          <w:szCs w:val="24"/>
        </w:rPr>
        <w:t xml:space="preserve">: Una aplicación de la teoría de los </w:t>
      </w:r>
      <w:proofErr w:type="spellStart"/>
      <w:r>
        <w:rPr>
          <w:rFonts w:ascii="Times New Roman" w:eastAsia="Times New Roman" w:hAnsi="Times New Roman" w:cs="Times New Roman"/>
          <w:sz w:val="24"/>
          <w:szCs w:val="24"/>
        </w:rPr>
        <w:t>stakeholder</w:t>
      </w:r>
      <w:proofErr w:type="spellEnd"/>
      <w:r>
        <w:rPr>
          <w:rFonts w:ascii="Times New Roman" w:eastAsia="Times New Roman" w:hAnsi="Times New Roman" w:cs="Times New Roman"/>
          <w:sz w:val="24"/>
          <w:szCs w:val="24"/>
        </w:rPr>
        <w:t xml:space="preserve"> a los negocios electrónicos. </w:t>
      </w:r>
      <w:r>
        <w:rPr>
          <w:rFonts w:ascii="Times New Roman" w:eastAsia="Times New Roman" w:hAnsi="Times New Roman" w:cs="Times New Roman"/>
          <w:i/>
          <w:sz w:val="24"/>
          <w:szCs w:val="24"/>
        </w:rPr>
        <w:t>Revista Estudios Gerenciales, 26</w:t>
      </w:r>
      <w:r>
        <w:rPr>
          <w:rFonts w:ascii="Times New Roman" w:eastAsia="Times New Roman" w:hAnsi="Times New Roman" w:cs="Times New Roman"/>
          <w:sz w:val="24"/>
          <w:szCs w:val="24"/>
        </w:rPr>
        <w:t xml:space="preserve">(114), p. 39-57. </w:t>
      </w:r>
    </w:p>
    <w:p w14:paraId="0BD9B823"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Grupo Nutresa (</w:t>
      </w:r>
      <w:proofErr w:type="spellStart"/>
      <w:r>
        <w:rPr>
          <w:rFonts w:ascii="Times New Roman" w:eastAsia="Times New Roman" w:hAnsi="Times New Roman" w:cs="Times New Roman"/>
          <w:sz w:val="24"/>
          <w:szCs w:val="24"/>
        </w:rPr>
        <w:t>s.f</w:t>
      </w:r>
      <w:proofErr w:type="spellEnd"/>
      <w:r>
        <w:rPr>
          <w:rFonts w:ascii="Times New Roman" w:eastAsia="Times New Roman" w:hAnsi="Times New Roman" w:cs="Times New Roman"/>
          <w:sz w:val="24"/>
          <w:szCs w:val="24"/>
        </w:rPr>
        <w:t xml:space="preserve">). Junta Directiva. </w:t>
      </w:r>
      <w:hyperlink r:id="rId34">
        <w:r w:rsidR="006B1C7A">
          <w:rPr>
            <w:rFonts w:ascii="Times New Roman" w:eastAsia="Times New Roman" w:hAnsi="Times New Roman" w:cs="Times New Roman"/>
            <w:sz w:val="24"/>
            <w:szCs w:val="24"/>
            <w:u w:val="single"/>
          </w:rPr>
          <w:t>https://gruponutresa.com/etica-y-gobierno-corporativo/junta-directiva/</w:t>
        </w:r>
      </w:hyperlink>
    </w:p>
    <w:p w14:paraId="3A79DF19"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Grupo Nutresa (2021) Informe Integrado 2021 Grupo Nutresa.</w:t>
      </w:r>
    </w:p>
    <w:p w14:paraId="70708763" w14:textId="77777777" w:rsidR="006B1C7A" w:rsidRDefault="006B1C7A">
      <w:pPr>
        <w:shd w:val="clear" w:color="auto" w:fill="FFFFFF"/>
        <w:spacing w:after="240" w:line="360" w:lineRule="auto"/>
        <w:rPr>
          <w:rFonts w:ascii="Times New Roman" w:eastAsia="Times New Roman" w:hAnsi="Times New Roman" w:cs="Times New Roman"/>
          <w:sz w:val="24"/>
          <w:szCs w:val="24"/>
          <w:u w:val="single"/>
        </w:rPr>
      </w:pPr>
      <w:hyperlink r:id="rId35">
        <w:r>
          <w:rPr>
            <w:rFonts w:ascii="Times New Roman" w:eastAsia="Times New Roman" w:hAnsi="Times New Roman" w:cs="Times New Roman"/>
            <w:sz w:val="24"/>
            <w:szCs w:val="24"/>
            <w:u w:val="single"/>
          </w:rPr>
          <w:t>https://data.gruponutresa.com/informes/Informe_integrado_2021-Grupo_Nutresa.pdf</w:t>
        </w:r>
      </w:hyperlink>
      <w:r w:rsidR="00000000">
        <w:rPr>
          <w:rFonts w:ascii="Times New Roman" w:eastAsia="Times New Roman" w:hAnsi="Times New Roman" w:cs="Times New Roman"/>
          <w:sz w:val="24"/>
          <w:szCs w:val="24"/>
          <w:u w:val="single"/>
        </w:rPr>
        <w:t xml:space="preserve"> </w:t>
      </w:r>
    </w:p>
    <w:p w14:paraId="2806E1D8"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Grupo Nutresa (2022) Informe Integrado 2022 Grupo Nutresa.</w:t>
      </w:r>
    </w:p>
    <w:p w14:paraId="2B12DF21" w14:textId="77777777" w:rsidR="006B1C7A" w:rsidRDefault="006B1C7A">
      <w:pPr>
        <w:shd w:val="clear" w:color="auto" w:fill="FFFFFF"/>
        <w:spacing w:after="240" w:line="360" w:lineRule="auto"/>
        <w:rPr>
          <w:rFonts w:ascii="Times New Roman" w:eastAsia="Times New Roman" w:hAnsi="Times New Roman" w:cs="Times New Roman"/>
          <w:sz w:val="24"/>
          <w:szCs w:val="24"/>
          <w:u w:val="single"/>
        </w:rPr>
      </w:pPr>
      <w:hyperlink r:id="rId36">
        <w:r>
          <w:rPr>
            <w:rFonts w:ascii="Times New Roman" w:eastAsia="Times New Roman" w:hAnsi="Times New Roman" w:cs="Times New Roman"/>
            <w:sz w:val="24"/>
            <w:szCs w:val="24"/>
            <w:u w:val="single"/>
          </w:rPr>
          <w:t>https://data.gruponutresa.com/informes/Informe_integrado_2022-Grupo_Nutresa.pdf</w:t>
        </w:r>
      </w:hyperlink>
    </w:p>
    <w:p w14:paraId="0E06CFA8"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Grupo Nutresa (2023) Informe de sostenibilidad 2023 Grupo Nutresa.</w:t>
      </w:r>
    </w:p>
    <w:p w14:paraId="36590B44" w14:textId="77777777" w:rsidR="006B1C7A" w:rsidRDefault="00000000">
      <w:pPr>
        <w:shd w:val="clear" w:color="auto" w:fill="FFFFFF"/>
        <w:spacing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lastRenderedPageBreak/>
        <w:t>https://data.gruponutresa.com/informes/Informe_de_Sostenibilidad_2023-Grupo_Nutresa.pdf</w:t>
      </w:r>
    </w:p>
    <w:p w14:paraId="11120221"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Infobae. (2022). OPA por Nutresa quedó desierta, anunció Bolsa de Valores de Colombia. </w:t>
      </w:r>
      <w:hyperlink r:id="rId37">
        <w:r w:rsidR="006B1C7A">
          <w:rPr>
            <w:rFonts w:ascii="Times New Roman" w:eastAsia="Times New Roman" w:hAnsi="Times New Roman" w:cs="Times New Roman"/>
            <w:sz w:val="24"/>
            <w:szCs w:val="24"/>
            <w:u w:val="single"/>
          </w:rPr>
          <w:t>https://www.infobae.com/america/colombia/2022/11/18/opa-por-nutresa-quedo-desierta-anuncio-bolsa-de-valores-de-colombia/</w:t>
        </w:r>
      </w:hyperlink>
    </w:p>
    <w:p w14:paraId="7AE857F8"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República. (2022). Las OPA más grandes que se han desarrollado en Colombia en lo corrido del siglo XXI. </w:t>
      </w:r>
      <w:hyperlink r:id="rId38">
        <w:r w:rsidR="006B1C7A">
          <w:rPr>
            <w:rFonts w:ascii="Times New Roman" w:eastAsia="Times New Roman" w:hAnsi="Times New Roman" w:cs="Times New Roman"/>
            <w:sz w:val="24"/>
            <w:szCs w:val="24"/>
            <w:u w:val="single"/>
          </w:rPr>
          <w:t>https://www.larepublica.co/especiales/opa-por-nutresa/las-opa-mas-grandes-que-se-han-desarrollado-en-colombia-en-lo-corrido-del-siglo-xxi-3453230</w:t>
        </w:r>
      </w:hyperlink>
    </w:p>
    <w:p w14:paraId="3E83B6D6"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La República. (2024). El Gobierno medió entre GEA y Gilinski, acordaron dar cierre al terreno de hostilidad. </w:t>
      </w:r>
      <w:hyperlink r:id="rId39">
        <w:r w:rsidR="006B1C7A">
          <w:rPr>
            <w:rFonts w:ascii="Times New Roman" w:eastAsia="Times New Roman" w:hAnsi="Times New Roman" w:cs="Times New Roman"/>
            <w:sz w:val="24"/>
            <w:szCs w:val="24"/>
            <w:u w:val="single"/>
          </w:rPr>
          <w:t>https://www.larepublica.co/finanzas/reunion-entre-el-gobierno-el-gea-y-gilinski-3779709</w:t>
        </w:r>
      </w:hyperlink>
    </w:p>
    <w:p w14:paraId="5E09FF64"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Ley 222 de 1995. Congreso de la República.</w:t>
      </w:r>
    </w:p>
    <w:p w14:paraId="40977C64"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Londoño, C. (2004). GRUPO EMPRESARIAL ANTIOQUEÑO. EVOLUCIÓN DE POLÍTICAS Y ESTRATEGIAS. </w:t>
      </w:r>
      <w:r>
        <w:rPr>
          <w:rFonts w:ascii="Times New Roman" w:eastAsia="Times New Roman" w:hAnsi="Times New Roman" w:cs="Times New Roman"/>
          <w:i/>
          <w:sz w:val="24"/>
          <w:szCs w:val="24"/>
        </w:rPr>
        <w:t xml:space="preserve">Revista </w:t>
      </w:r>
      <w:proofErr w:type="spellStart"/>
      <w:r>
        <w:rPr>
          <w:rFonts w:ascii="Times New Roman" w:eastAsia="Times New Roman" w:hAnsi="Times New Roman" w:cs="Times New Roman"/>
          <w:i/>
          <w:sz w:val="24"/>
          <w:szCs w:val="24"/>
        </w:rPr>
        <w:t>EIA</w:t>
      </w:r>
      <w:proofErr w:type="spellEnd"/>
      <w:r>
        <w:rPr>
          <w:rFonts w:ascii="Times New Roman" w:eastAsia="Times New Roman" w:hAnsi="Times New Roman" w:cs="Times New Roman"/>
          <w:i/>
          <w:sz w:val="24"/>
          <w:szCs w:val="24"/>
        </w:rPr>
        <w:t>, núm. 1, febrero, 2004, pp. 47-62</w:t>
      </w:r>
    </w:p>
    <w:p w14:paraId="0E8BD2BC"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Londoño, S. (2023). Así quedó el acuerdo entre el GEA y Gilinski: ¿qué pasará con Sura y Nutresa? Artículo de </w:t>
      </w:r>
      <w:proofErr w:type="spellStart"/>
      <w:r>
        <w:rPr>
          <w:rFonts w:ascii="Times New Roman" w:eastAsia="Times New Roman" w:hAnsi="Times New Roman" w:cs="Times New Roman"/>
          <w:sz w:val="24"/>
          <w:szCs w:val="24"/>
        </w:rPr>
        <w:t>Analitik</w:t>
      </w:r>
      <w:proofErr w:type="spellEnd"/>
      <w:r>
        <w:rPr>
          <w:rFonts w:ascii="Times New Roman" w:eastAsia="Times New Roman" w:hAnsi="Times New Roman" w:cs="Times New Roman"/>
          <w:sz w:val="24"/>
          <w:szCs w:val="24"/>
        </w:rPr>
        <w:t xml:space="preserve">. </w:t>
      </w:r>
      <w:hyperlink r:id="rId40">
        <w:r w:rsidR="006B1C7A">
          <w:rPr>
            <w:rFonts w:ascii="Times New Roman" w:eastAsia="Times New Roman" w:hAnsi="Times New Roman" w:cs="Times New Roman"/>
            <w:sz w:val="24"/>
            <w:szCs w:val="24"/>
            <w:u w:val="single"/>
          </w:rPr>
          <w:t>https://www.valoraanalitik.com/acuerdo-gea-gilinski-como-quedo-que-pasara-con-sura-nutresa/</w:t>
        </w:r>
      </w:hyperlink>
    </w:p>
    <w:p w14:paraId="252037F0"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Mariño, L. (2020). Gilinski ejerce opción de compra a minoritarios de Semana y se queda con 100% del Grupo. Artículo de La República. </w:t>
      </w:r>
      <w:hyperlink r:id="rId41">
        <w:r w:rsidR="006B1C7A">
          <w:rPr>
            <w:rFonts w:ascii="Times New Roman" w:eastAsia="Times New Roman" w:hAnsi="Times New Roman" w:cs="Times New Roman"/>
            <w:sz w:val="24"/>
            <w:szCs w:val="24"/>
            <w:u w:val="single"/>
          </w:rPr>
          <w:t>https://www.larepublica.co/empresas/gilinski-ejerce-opcion-de-compra-a-minoritarios-de-semana-y-se-queda-con-100-del-grupo-3087653</w:t>
        </w:r>
      </w:hyperlink>
    </w:p>
    <w:p w14:paraId="600EAA28"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Mejía, J. (2021). El GEA y la cohesión de </w:t>
      </w:r>
      <w:proofErr w:type="gramStart"/>
      <w:r>
        <w:rPr>
          <w:rFonts w:ascii="Times New Roman" w:eastAsia="Times New Roman" w:hAnsi="Times New Roman" w:cs="Times New Roman"/>
          <w:sz w:val="24"/>
          <w:szCs w:val="24"/>
        </w:rPr>
        <w:t>la élites paisas</w:t>
      </w:r>
      <w:proofErr w:type="gramEnd"/>
      <w:r>
        <w:rPr>
          <w:rFonts w:ascii="Times New Roman" w:eastAsia="Times New Roman" w:hAnsi="Times New Roman" w:cs="Times New Roman"/>
          <w:sz w:val="24"/>
          <w:szCs w:val="24"/>
        </w:rPr>
        <w:t xml:space="preserve">. Forbes artículo. </w:t>
      </w:r>
      <w:hyperlink r:id="rId42">
        <w:r w:rsidR="006B1C7A">
          <w:rPr>
            <w:rFonts w:ascii="Times New Roman" w:eastAsia="Times New Roman" w:hAnsi="Times New Roman" w:cs="Times New Roman"/>
            <w:sz w:val="24"/>
            <w:szCs w:val="24"/>
            <w:u w:val="single"/>
          </w:rPr>
          <w:t>https://forbes.co/2021/09/07/red-forbes/el-gea-y-la-cohesion-de-las-elites-paisas</w:t>
        </w:r>
      </w:hyperlink>
    </w:p>
    <w:p w14:paraId="2DA2B4AC"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Mercado, L. (2024). Gilinski logra el control del 99,3% de Nutresa, tras cierre de la OPA. </w:t>
      </w:r>
      <w:hyperlink r:id="rId43">
        <w:r w:rsidR="006B1C7A">
          <w:rPr>
            <w:rFonts w:ascii="Times New Roman" w:eastAsia="Times New Roman" w:hAnsi="Times New Roman" w:cs="Times New Roman"/>
            <w:sz w:val="24"/>
            <w:szCs w:val="24"/>
            <w:u w:val="single"/>
          </w:rPr>
          <w:t>https://www.wradio.com.co/2024/04/04/gilinski-logra-el-control-del-993-de-nutresa-tras-cierre-de-la-opa/</w:t>
        </w:r>
      </w:hyperlink>
    </w:p>
    <w:p w14:paraId="55F9F2CA"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Montiel, C. (2009). Acercamiento al concepto </w:t>
      </w:r>
      <w:proofErr w:type="spellStart"/>
      <w:r>
        <w:rPr>
          <w:rFonts w:ascii="Times New Roman" w:eastAsia="Times New Roman" w:hAnsi="Times New Roman" w:cs="Times New Roman"/>
          <w:sz w:val="24"/>
          <w:szCs w:val="24"/>
        </w:rPr>
        <w:t>degrupos</w:t>
      </w:r>
      <w:proofErr w:type="spellEnd"/>
      <w:r>
        <w:rPr>
          <w:rFonts w:ascii="Times New Roman" w:eastAsia="Times New Roman" w:hAnsi="Times New Roman" w:cs="Times New Roman"/>
          <w:sz w:val="24"/>
          <w:szCs w:val="24"/>
        </w:rPr>
        <w:t xml:space="preserve"> empresariales: concurrencia de elementos para su existencia. </w:t>
      </w:r>
      <w:r>
        <w:rPr>
          <w:rFonts w:ascii="Times New Roman" w:eastAsia="Times New Roman" w:hAnsi="Times New Roman" w:cs="Times New Roman"/>
          <w:i/>
          <w:sz w:val="24"/>
          <w:szCs w:val="24"/>
        </w:rPr>
        <w:t xml:space="preserve">Revista </w:t>
      </w:r>
      <w:proofErr w:type="spellStart"/>
      <w:r>
        <w:rPr>
          <w:rFonts w:ascii="Times New Roman" w:eastAsia="Times New Roman" w:hAnsi="Times New Roman" w:cs="Times New Roman"/>
          <w:i/>
          <w:sz w:val="24"/>
          <w:szCs w:val="24"/>
        </w:rPr>
        <w:t>Mercatoria</w:t>
      </w:r>
      <w:proofErr w:type="spellEnd"/>
      <w:r>
        <w:rPr>
          <w:rFonts w:ascii="Times New Roman" w:eastAsia="Times New Roman" w:hAnsi="Times New Roman" w:cs="Times New Roman"/>
          <w:i/>
          <w:sz w:val="24"/>
          <w:szCs w:val="24"/>
        </w:rPr>
        <w:t xml:space="preserve"> 8</w:t>
      </w:r>
      <w:r>
        <w:rPr>
          <w:rFonts w:ascii="Times New Roman" w:eastAsia="Times New Roman" w:hAnsi="Times New Roman" w:cs="Times New Roman"/>
          <w:sz w:val="24"/>
          <w:szCs w:val="24"/>
        </w:rPr>
        <w:t xml:space="preserve">(1). </w:t>
      </w:r>
    </w:p>
    <w:p w14:paraId="70E41415"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Morales, C. (2024). Reunión entre Petro con el GEA y los Gilinski: ¿cómo fue y qué han acordado? </w:t>
      </w:r>
      <w:hyperlink r:id="rId44">
        <w:r w:rsidR="006B1C7A">
          <w:rPr>
            <w:rFonts w:ascii="Times New Roman" w:eastAsia="Times New Roman" w:hAnsi="Times New Roman" w:cs="Times New Roman"/>
            <w:sz w:val="24"/>
            <w:szCs w:val="24"/>
            <w:u w:val="single"/>
          </w:rPr>
          <w:t>https://colombia.as.com/actualidad/reunion-entre-petro-con-el-gea-y-los-gilinski-como-fue-y-que-han-acordado-n/</w:t>
        </w:r>
      </w:hyperlink>
    </w:p>
    <w:p w14:paraId="78E36EA0"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Morales, N. (2022). Nueva OPA por Nutresa es hasta 94,6% más alta que primera oferta de Gilinski. Artículo de La República. </w:t>
      </w:r>
      <w:hyperlink r:id="rId45">
        <w:r w:rsidR="006B1C7A">
          <w:rPr>
            <w:rFonts w:ascii="Times New Roman" w:eastAsia="Times New Roman" w:hAnsi="Times New Roman" w:cs="Times New Roman"/>
            <w:sz w:val="24"/>
            <w:szCs w:val="24"/>
            <w:u w:val="single"/>
          </w:rPr>
          <w:t>https://www.larepublica.co/especiales/opa-por-nutresa/nueva-opa-es-94-6-43-1-y-23-5-mas-alta-que-las-tres-primeras-ofertas-de-gilinski-3452401</w:t>
        </w:r>
      </w:hyperlink>
    </w:p>
    <w:p w14:paraId="4817D9D9"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Noticias RCN. (2022). ¿Quién es el millonario árabe que quiere comprar Nutresa? </w:t>
      </w:r>
      <w:hyperlink r:id="rId46">
        <w:r w:rsidR="006B1C7A">
          <w:rPr>
            <w:rFonts w:ascii="Times New Roman" w:eastAsia="Times New Roman" w:hAnsi="Times New Roman" w:cs="Times New Roman"/>
            <w:sz w:val="24"/>
            <w:szCs w:val="24"/>
            <w:u w:val="single"/>
          </w:rPr>
          <w:t>https://www.noticiasrcn.com/internacional/quien-es-el-millonario-arabe-que-quiere-comprar-nutresa-429805</w:t>
        </w:r>
      </w:hyperlink>
    </w:p>
    <w:p w14:paraId="560D3F0F"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Pardo, E. (2023). Grupo Gilinski y los Pandora </w:t>
      </w:r>
      <w:proofErr w:type="spellStart"/>
      <w:r>
        <w:rPr>
          <w:rFonts w:ascii="Times New Roman" w:eastAsia="Times New Roman" w:hAnsi="Times New Roman" w:cs="Times New Roman"/>
          <w:sz w:val="24"/>
          <w:szCs w:val="24"/>
        </w:rPr>
        <w:t>Papers</w:t>
      </w:r>
      <w:proofErr w:type="spellEnd"/>
      <w:r>
        <w:rPr>
          <w:rFonts w:ascii="Times New Roman" w:eastAsia="Times New Roman" w:hAnsi="Times New Roman" w:cs="Times New Roman"/>
          <w:sz w:val="24"/>
          <w:szCs w:val="24"/>
        </w:rPr>
        <w:t xml:space="preserve">. </w:t>
      </w:r>
      <w:hyperlink r:id="rId47">
        <w:r w:rsidR="006B1C7A">
          <w:rPr>
            <w:rFonts w:ascii="Times New Roman" w:eastAsia="Times New Roman" w:hAnsi="Times New Roman" w:cs="Times New Roman"/>
            <w:sz w:val="24"/>
            <w:szCs w:val="24"/>
            <w:u w:val="single"/>
          </w:rPr>
          <w:t>https://redmas.com.co/economia/El-jeque-socio-de-Gilinski-y-accionista-de-Nutresa-esta-salpicado-en-los-Pandora-Papers-20230525-0033.html</w:t>
        </w:r>
      </w:hyperlink>
    </w:p>
    <w:p w14:paraId="55390B7F"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Portafolio. (2023). Así se ‘cocinó’ pacto entre GEA y Gilinski para terminar hostilidades. </w:t>
      </w:r>
      <w:hyperlink r:id="rId48">
        <w:r w:rsidR="006B1C7A">
          <w:rPr>
            <w:rFonts w:ascii="Times New Roman" w:eastAsia="Times New Roman" w:hAnsi="Times New Roman" w:cs="Times New Roman"/>
            <w:sz w:val="24"/>
            <w:szCs w:val="24"/>
            <w:u w:val="single"/>
          </w:rPr>
          <w:t>https://www.portafolio.co/negocios/gea-y-gilinski-cierran-diferencias-en-madrid-583390</w:t>
        </w:r>
      </w:hyperlink>
    </w:p>
    <w:p w14:paraId="087AFA4E"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Quintero, W., Peñaranda, M., y Rodríguez, M. (2012). Naturaleza de las organizaciones y sus costos de transacción: Análisis de la teoría de agencia, teoría de la organización y teoría de la firma. </w:t>
      </w:r>
      <w:r>
        <w:rPr>
          <w:rFonts w:ascii="Times New Roman" w:eastAsia="Times New Roman" w:hAnsi="Times New Roman" w:cs="Times New Roman"/>
          <w:i/>
          <w:sz w:val="24"/>
          <w:szCs w:val="24"/>
        </w:rPr>
        <w:t xml:space="preserve">Revista Espacios, Vol. 41 (31). </w:t>
      </w:r>
    </w:p>
    <w:p w14:paraId="70E13CC7"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Ramírez, F. (2001). Las ofertas públicas de adquisición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 xml:space="preserve">Revista </w:t>
      </w:r>
      <w:proofErr w:type="spellStart"/>
      <w:r>
        <w:rPr>
          <w:rFonts w:ascii="Times New Roman" w:eastAsia="Times New Roman" w:hAnsi="Times New Roman" w:cs="Times New Roman"/>
          <w:i/>
          <w:sz w:val="24"/>
          <w:szCs w:val="24"/>
        </w:rPr>
        <w:t>uaca</w:t>
      </w:r>
      <w:proofErr w:type="spellEnd"/>
      <w:r>
        <w:rPr>
          <w:rFonts w:ascii="Times New Roman" w:eastAsia="Times New Roman" w:hAnsi="Times New Roman" w:cs="Times New Roman"/>
          <w:i/>
          <w:sz w:val="24"/>
          <w:szCs w:val="24"/>
        </w:rPr>
        <w:t xml:space="preserve"> noviembre</w:t>
      </w:r>
      <w:r>
        <w:rPr>
          <w:rFonts w:ascii="Times New Roman" w:eastAsia="Times New Roman" w:hAnsi="Times New Roman" w:cs="Times New Roman"/>
          <w:sz w:val="24"/>
          <w:szCs w:val="24"/>
        </w:rPr>
        <w:t xml:space="preserve">. </w:t>
      </w:r>
      <w:hyperlink r:id="rId49">
        <w:r w:rsidR="006B1C7A">
          <w:rPr>
            <w:rFonts w:ascii="Times New Roman" w:eastAsia="Times New Roman" w:hAnsi="Times New Roman" w:cs="Times New Roman"/>
            <w:sz w:val="24"/>
            <w:szCs w:val="24"/>
            <w:u w:val="single"/>
          </w:rPr>
          <w:t>http://revista.uaca.ac.cr/index.php/actas/article/view/578/602</w:t>
        </w:r>
      </w:hyperlink>
    </w:p>
    <w:p w14:paraId="0BE59236"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Rebaza Torres, A. (2005). ¿Para qué te quiero opa? sus principios y sus malentendidos. </w:t>
      </w:r>
      <w:r>
        <w:rPr>
          <w:rFonts w:ascii="Times New Roman" w:eastAsia="Times New Roman" w:hAnsi="Times New Roman" w:cs="Times New Roman"/>
          <w:i/>
          <w:sz w:val="24"/>
          <w:szCs w:val="24"/>
        </w:rPr>
        <w:t>THEMIS Revista De Derecho</w:t>
      </w:r>
      <w:r>
        <w:rPr>
          <w:rFonts w:ascii="Times New Roman" w:eastAsia="Times New Roman" w:hAnsi="Times New Roman" w:cs="Times New Roman"/>
          <w:sz w:val="24"/>
          <w:szCs w:val="24"/>
        </w:rPr>
        <w:t>, (50), 97-107. Recuperado a partir de https://revistas.pucp.edu.pe/index.php/themis/article/view/8753</w:t>
      </w:r>
    </w:p>
    <w:p w14:paraId="0126D519"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Rentería, C., Naranjo, Y., y Arango M. (2009). Grupos económicos, un fenómeno atípico en el ámbito jurídico colombiano. [Tesis de especialización en Derecho Comercial, Universidad de Medellín, Colombia]. </w:t>
      </w:r>
      <w:hyperlink r:id="rId50">
        <w:r w:rsidR="006B1C7A">
          <w:rPr>
            <w:rFonts w:ascii="Times New Roman" w:eastAsia="Times New Roman" w:hAnsi="Times New Roman" w:cs="Times New Roman"/>
            <w:sz w:val="24"/>
            <w:szCs w:val="24"/>
            <w:u w:val="single"/>
          </w:rPr>
          <w:t>https://repository.udem.edu.co/bitstream/handle/11407/4632/TG_EDE_4.pdf?s</w:t>
        </w:r>
      </w:hyperlink>
    </w:p>
    <w:p w14:paraId="49C9CB64"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Rodriguez, C. (2024). Luego de más 800 días desde la primera OPA, Grupo Gilinski tendrá control de Nutresa. </w:t>
      </w:r>
      <w:hyperlink r:id="rId51">
        <w:r w:rsidR="006B1C7A">
          <w:rPr>
            <w:rFonts w:ascii="Times New Roman" w:eastAsia="Times New Roman" w:hAnsi="Times New Roman" w:cs="Times New Roman"/>
            <w:sz w:val="24"/>
            <w:szCs w:val="24"/>
            <w:u w:val="single"/>
          </w:rPr>
          <w:t>https://www.larepublica.co/finanzas/luego-de-800-dias-desde-su-primera-opa-grupo-gilinski-tendra-el-control-de-nutresa-3795055</w:t>
        </w:r>
      </w:hyperlink>
    </w:p>
    <w:p w14:paraId="5D8C94B8"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Rodriguez, C. (2024). El Grupo Gilinski finalmente cederá el control del Grupo Nutresa a sus socios árabes. </w:t>
      </w:r>
      <w:hyperlink r:id="rId52">
        <w:r w:rsidR="006B1C7A">
          <w:rPr>
            <w:rFonts w:ascii="Times New Roman" w:eastAsia="Times New Roman" w:hAnsi="Times New Roman" w:cs="Times New Roman"/>
            <w:sz w:val="24"/>
            <w:szCs w:val="24"/>
            <w:u w:val="single"/>
          </w:rPr>
          <w:t>https://www.larepublica.co/empresas/el-grupo-gilinski-cedera-el-control-del-grupo-nutresa-a-sus-socios-arabes-3912817</w:t>
        </w:r>
      </w:hyperlink>
    </w:p>
    <w:p w14:paraId="75323088"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Rodríguez, M. (2024). Con decreto, el GEA y el Grupo Gilinski seguirán adelante con el Acuerdo de Madrid. </w:t>
      </w:r>
      <w:hyperlink r:id="rId53">
        <w:r w:rsidR="006B1C7A">
          <w:rPr>
            <w:rFonts w:ascii="Times New Roman" w:eastAsia="Times New Roman" w:hAnsi="Times New Roman" w:cs="Times New Roman"/>
            <w:sz w:val="24"/>
            <w:szCs w:val="24"/>
            <w:u w:val="single"/>
          </w:rPr>
          <w:t>https://www.larepublica.co/finanzas/con-decreto-el-gea-y-el-grupo-gilinski-seguiran-adelante-con-el-acuerdo-de-madrid-3791724</w:t>
        </w:r>
      </w:hyperlink>
    </w:p>
    <w:p w14:paraId="217CBB82"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Romero, C. (2022). El efecto de las </w:t>
      </w:r>
      <w:proofErr w:type="spellStart"/>
      <w:r>
        <w:rPr>
          <w:rFonts w:ascii="Times New Roman" w:eastAsia="Times New Roman" w:hAnsi="Times New Roman" w:cs="Times New Roman"/>
          <w:sz w:val="24"/>
          <w:szCs w:val="24"/>
        </w:rPr>
        <w:t>OPAs</w:t>
      </w:r>
      <w:proofErr w:type="spellEnd"/>
      <w:r>
        <w:rPr>
          <w:rFonts w:ascii="Times New Roman" w:eastAsia="Times New Roman" w:hAnsi="Times New Roman" w:cs="Times New Roman"/>
          <w:sz w:val="24"/>
          <w:szCs w:val="24"/>
        </w:rPr>
        <w:t xml:space="preserve"> sobre la rentabilidad del mercado accionario en Colombia para el periodo 2001 – 2022. </w:t>
      </w:r>
      <w:proofErr w:type="spellStart"/>
      <w:r>
        <w:rPr>
          <w:rFonts w:ascii="Times New Roman" w:eastAsia="Times New Roman" w:hAnsi="Times New Roman" w:cs="Times New Roman"/>
          <w:sz w:val="24"/>
          <w:szCs w:val="24"/>
        </w:rPr>
        <w:t>Retrieved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w:t>
      </w:r>
      <w:hyperlink r:id="rId54">
        <w:r w:rsidR="006B1C7A">
          <w:rPr>
            <w:rFonts w:ascii="Times New Roman" w:eastAsia="Times New Roman" w:hAnsi="Times New Roman" w:cs="Times New Roman"/>
            <w:sz w:val="24"/>
            <w:szCs w:val="24"/>
            <w:u w:val="single"/>
          </w:rPr>
          <w:t>https://ciencia.lasalle.edu.co/economia/1721</w:t>
        </w:r>
      </w:hyperlink>
    </w:p>
    <w:p w14:paraId="4932257F"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Sánchez, C. (2023). Los Gilinski y sus aliados árabes pactan con el GEA quedarse con Nutresa y renunciar a los demás negocios. </w:t>
      </w:r>
      <w:hyperlink r:id="rId55">
        <w:r w:rsidR="006B1C7A">
          <w:rPr>
            <w:rFonts w:ascii="Times New Roman" w:eastAsia="Times New Roman" w:hAnsi="Times New Roman" w:cs="Times New Roman"/>
            <w:sz w:val="24"/>
            <w:szCs w:val="24"/>
            <w:u w:val="single"/>
          </w:rPr>
          <w:t>https://elpais.com/america-colombia/2023-05-24/los-gilinski-y-sus-aliados-arabes-pactan-con-el-gea-quedarse-con-nutresa-y-renunciar-a-los-demas-negocios.html</w:t>
        </w:r>
      </w:hyperlink>
    </w:p>
    <w:p w14:paraId="23D5469D"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Sánchez, G., y Rodríguez, C. (2016). El proceso evolutivo de los Conglomerados o Grupos Económicos en Colombia</w:t>
      </w:r>
      <w:r>
        <w:rPr>
          <w:rFonts w:ascii="Times New Roman" w:eastAsia="Times New Roman" w:hAnsi="Times New Roman" w:cs="Times New Roman"/>
          <w:i/>
          <w:sz w:val="24"/>
          <w:szCs w:val="24"/>
        </w:rPr>
        <w:t>. Innovar, 26</w:t>
      </w:r>
      <w:r>
        <w:rPr>
          <w:rFonts w:ascii="Times New Roman" w:eastAsia="Times New Roman" w:hAnsi="Times New Roman" w:cs="Times New Roman"/>
          <w:sz w:val="24"/>
          <w:szCs w:val="24"/>
        </w:rPr>
        <w:t xml:space="preserve">(60), 11-34.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10.15446/</w:t>
      </w:r>
      <w:proofErr w:type="spellStart"/>
      <w:proofErr w:type="gramStart"/>
      <w:r>
        <w:rPr>
          <w:rFonts w:ascii="Times New Roman" w:eastAsia="Times New Roman" w:hAnsi="Times New Roman" w:cs="Times New Roman"/>
          <w:sz w:val="24"/>
          <w:szCs w:val="24"/>
        </w:rPr>
        <w:t>innovar.v</w:t>
      </w:r>
      <w:proofErr w:type="gramEnd"/>
      <w:r>
        <w:rPr>
          <w:rFonts w:ascii="Times New Roman" w:eastAsia="Times New Roman" w:hAnsi="Times New Roman" w:cs="Times New Roman"/>
          <w:sz w:val="24"/>
          <w:szCs w:val="24"/>
        </w:rPr>
        <w:t>26n60.55478</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DOI</w:t>
      </w:r>
      <w:proofErr w:type="spellEnd"/>
      <w:r>
        <w:rPr>
          <w:rFonts w:ascii="Times New Roman" w:eastAsia="Times New Roman" w:hAnsi="Times New Roman" w:cs="Times New Roman"/>
          <w:sz w:val="24"/>
          <w:szCs w:val="24"/>
        </w:rPr>
        <w:t>: http://dx.doi.org/10.15446/innovar.v26n60.5547</w:t>
      </w:r>
    </w:p>
    <w:p w14:paraId="4802C7D5"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Semana. (2022). Accionistas minoritarios y pensionados demandarían a directivos y compañías del GEA. </w:t>
      </w:r>
      <w:hyperlink r:id="rId56">
        <w:r w:rsidR="006B1C7A">
          <w:rPr>
            <w:rFonts w:ascii="Times New Roman" w:eastAsia="Times New Roman" w:hAnsi="Times New Roman" w:cs="Times New Roman"/>
            <w:sz w:val="24"/>
            <w:szCs w:val="24"/>
            <w:u w:val="single"/>
          </w:rPr>
          <w:t>https://www.semana.com/economia/articulo/accionistas-minoritarios-y-pensionados-demandarian-a-directivos-y-companias-del-gea/202229/</w:t>
        </w:r>
      </w:hyperlink>
    </w:p>
    <w:p w14:paraId="2DB90534"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Servicio de Impuestos Internos [SII]. (2021). Informe: Grupos económicos empresariales. https://www.sii.cl/sobre_el_sii/pgct2021_f4.pdf</w:t>
      </w:r>
    </w:p>
    <w:p w14:paraId="2E097907"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Universidad </w:t>
      </w:r>
      <w:proofErr w:type="spellStart"/>
      <w:r>
        <w:rPr>
          <w:rFonts w:ascii="Times New Roman" w:eastAsia="Times New Roman" w:hAnsi="Times New Roman" w:cs="Times New Roman"/>
          <w:sz w:val="24"/>
          <w:szCs w:val="24"/>
        </w:rPr>
        <w:t>EIA</w:t>
      </w:r>
      <w:proofErr w:type="spellEnd"/>
      <w:r>
        <w:rPr>
          <w:rFonts w:ascii="Times New Roman" w:eastAsia="Times New Roman" w:hAnsi="Times New Roman" w:cs="Times New Roman"/>
          <w:sz w:val="24"/>
          <w:szCs w:val="24"/>
        </w:rPr>
        <w:t xml:space="preserve">. (2022). Grupos Nutresa y Sura: ¿qué esperar ante la nueva composición accionaria y las sucesivas opas? </w:t>
      </w:r>
      <w:hyperlink r:id="rId57">
        <w:r w:rsidR="006B1C7A">
          <w:rPr>
            <w:rFonts w:ascii="Times New Roman" w:eastAsia="Times New Roman" w:hAnsi="Times New Roman" w:cs="Times New Roman"/>
            <w:sz w:val="24"/>
            <w:szCs w:val="24"/>
            <w:u w:val="single"/>
          </w:rPr>
          <w:t>https://www.eia.edu.co/wp-content/uploads/2023/10/Tercera-OPAs-Nutresa-Sura.pdf</w:t>
        </w:r>
      </w:hyperlink>
    </w:p>
    <w:p w14:paraId="3C74D2EA" w14:textId="77777777" w:rsidR="006B1C7A" w:rsidRDefault="00000000">
      <w:pPr>
        <w:shd w:val="clear" w:color="auto" w:fill="FFFFFF"/>
        <w:spacing w:after="240"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Vargas, D. (2021). Quiénes son los Gilinski, magnates que van por el GEA. Artículo de El Colombiano. </w:t>
      </w:r>
      <w:hyperlink r:id="rId58">
        <w:r w:rsidR="006B1C7A">
          <w:rPr>
            <w:rFonts w:ascii="Times New Roman" w:eastAsia="Times New Roman" w:hAnsi="Times New Roman" w:cs="Times New Roman"/>
            <w:sz w:val="24"/>
            <w:szCs w:val="24"/>
            <w:u w:val="single"/>
          </w:rPr>
          <w:t>https://www.elcolombiano.com/negocios/quienes-son-los-gilinski-empresarios-que-quieren-comprar-sura-y-nutresa-GG16108178</w:t>
        </w:r>
      </w:hyperlink>
    </w:p>
    <w:p w14:paraId="68CC3EE3" w14:textId="77777777" w:rsidR="006B1C7A" w:rsidRDefault="006B1C7A">
      <w:pPr>
        <w:ind w:firstLine="720"/>
      </w:pPr>
    </w:p>
    <w:sectPr w:rsidR="006B1C7A">
      <w:headerReference w:type="default" r:id="rId5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381ECA" w14:textId="77777777" w:rsidR="00582DD6" w:rsidRDefault="00582DD6" w:rsidP="008C0D94">
      <w:pPr>
        <w:spacing w:line="240" w:lineRule="auto"/>
      </w:pPr>
      <w:r>
        <w:separator/>
      </w:r>
    </w:p>
  </w:endnote>
  <w:endnote w:type="continuationSeparator" w:id="0">
    <w:p w14:paraId="1CBB5080" w14:textId="77777777" w:rsidR="00582DD6" w:rsidRDefault="00582DD6" w:rsidP="008C0D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536F8713-6A1D-4CA0-B95D-09C44F7BE093}"/>
    <w:embedBold r:id="rId2" w:fontKey="{3DCD0FCF-FEAA-4792-AE1D-2AF489923AE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81C5A205-035C-4C54-B73D-1314F4E034C4}"/>
    <w:embedBold r:id="rId4" w:fontKey="{E1443882-EF6B-46BC-8D4B-BCC0D2C74312}"/>
    <w:embedItalic r:id="rId5" w:fontKey="{9DBF53FB-6356-4E5D-9DB3-24A3698CFC1A}"/>
  </w:font>
  <w:font w:name="Calibri">
    <w:panose1 w:val="020F0502020204030204"/>
    <w:charset w:val="00"/>
    <w:family w:val="swiss"/>
    <w:pitch w:val="variable"/>
    <w:sig w:usb0="E4002EFF" w:usb1="C200247B" w:usb2="00000009" w:usb3="00000000" w:csb0="000001FF" w:csb1="00000000"/>
    <w:embedRegular r:id="rId6" w:fontKey="{12C846EC-31D3-427E-B9CB-E683AA0977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DF170" w14:textId="77777777" w:rsidR="00582DD6" w:rsidRDefault="00582DD6" w:rsidP="008C0D94">
      <w:pPr>
        <w:spacing w:line="240" w:lineRule="auto"/>
      </w:pPr>
      <w:r>
        <w:separator/>
      </w:r>
    </w:p>
  </w:footnote>
  <w:footnote w:type="continuationSeparator" w:id="0">
    <w:p w14:paraId="43CA8B7C" w14:textId="77777777" w:rsidR="00582DD6" w:rsidRDefault="00582DD6" w:rsidP="008C0D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BD80A" w14:textId="117E9A49" w:rsidR="008C0D94" w:rsidRDefault="008C0D94" w:rsidP="008C0D94">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6368055"/>
      <w:docPartObj>
        <w:docPartGallery w:val="Page Numbers (Top of Page)"/>
        <w:docPartUnique/>
      </w:docPartObj>
    </w:sdtPr>
    <w:sdtContent>
      <w:p w14:paraId="450BCD0B" w14:textId="56E3081D" w:rsidR="00BA0FB0" w:rsidRDefault="00BA0FB0">
        <w:pPr>
          <w:pStyle w:val="Encabezado"/>
          <w:jc w:val="right"/>
        </w:pPr>
        <w:r>
          <w:fldChar w:fldCharType="begin"/>
        </w:r>
        <w:r>
          <w:instrText>PAGE   \* MERGEFORMAT</w:instrText>
        </w:r>
        <w:r>
          <w:fldChar w:fldCharType="separate"/>
        </w:r>
        <w:r>
          <w:rPr>
            <w:lang w:val="es-ES"/>
          </w:rPr>
          <w:t>2</w:t>
        </w:r>
        <w:r>
          <w:fldChar w:fldCharType="end"/>
        </w:r>
      </w:p>
    </w:sdtContent>
  </w:sdt>
  <w:p w14:paraId="6E9ACFC8" w14:textId="1E47B829" w:rsidR="00BA0FB0" w:rsidRPr="00BA0FB0" w:rsidRDefault="00BA0FB0" w:rsidP="00BA0FB0">
    <w:pPr>
      <w:pStyle w:val="Encabezado"/>
      <w:rPr>
        <w:bCs/>
      </w:rPr>
    </w:pPr>
    <w:r w:rsidRPr="00BA0FB0">
      <w:rPr>
        <w:rFonts w:ascii="Times New Roman" w:eastAsia="Times New Roman" w:hAnsi="Times New Roman" w:cs="Times New Roman"/>
        <w:bCs/>
        <w:sz w:val="24"/>
        <w:szCs w:val="24"/>
      </w:rPr>
      <w:t xml:space="preserve">Gilinski vs Nutresa: </w:t>
    </w:r>
    <w:proofErr w:type="spellStart"/>
    <w:r w:rsidRPr="00BA0FB0">
      <w:rPr>
        <w:rFonts w:ascii="Times New Roman" w:eastAsia="Times New Roman" w:hAnsi="Times New Roman" w:cs="Times New Roman"/>
        <w:bCs/>
        <w:sz w:val="24"/>
        <w:szCs w:val="24"/>
      </w:rPr>
      <w:t>OPAs</w:t>
    </w:r>
    <w:proofErr w:type="spellEnd"/>
    <w:r w:rsidRPr="00BA0FB0">
      <w:rPr>
        <w:rFonts w:ascii="Times New Roman" w:eastAsia="Times New Roman" w:hAnsi="Times New Roman" w:cs="Times New Roman"/>
        <w:bCs/>
        <w:sz w:val="24"/>
        <w:szCs w:val="24"/>
      </w:rPr>
      <w:t>, Una Mirada Económica, Legal y Estratégica</w:t>
    </w:r>
    <w:r w:rsidRPr="00BA0FB0">
      <w:rPr>
        <w:rFonts w:ascii="Times New Roman" w:eastAsia="Times New Roman" w:hAnsi="Times New Roman" w:cs="Times New Roman"/>
        <w:bCs/>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465AC"/>
    <w:multiLevelType w:val="hybridMultilevel"/>
    <w:tmpl w:val="C1CE93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3D9B1A97"/>
    <w:multiLevelType w:val="hybridMultilevel"/>
    <w:tmpl w:val="43544164"/>
    <w:lvl w:ilvl="0" w:tplc="240A000F">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6197EFE"/>
    <w:multiLevelType w:val="multilevel"/>
    <w:tmpl w:val="51A808B4"/>
    <w:lvl w:ilvl="0">
      <w:start w:val="1"/>
      <w:numFmt w:val="decimal"/>
      <w:lvlText w:val="%1."/>
      <w:lvlJc w:val="left"/>
      <w:pPr>
        <w:ind w:left="425" w:hanging="585"/>
      </w:pPr>
      <w:rPr>
        <w:rFonts w:ascii="Aptos" w:eastAsia="Aptos" w:hAnsi="Aptos" w:cs="Aptos"/>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31181762">
    <w:abstractNumId w:val="2"/>
  </w:num>
  <w:num w:numId="2" w16cid:durableId="1135174744">
    <w:abstractNumId w:val="0"/>
  </w:num>
  <w:num w:numId="3" w16cid:durableId="864055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C7A"/>
    <w:rsid w:val="001A582D"/>
    <w:rsid w:val="00237E26"/>
    <w:rsid w:val="00311125"/>
    <w:rsid w:val="004A01DB"/>
    <w:rsid w:val="00582DD6"/>
    <w:rsid w:val="006B1C7A"/>
    <w:rsid w:val="008C0D94"/>
    <w:rsid w:val="00BA0FB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D519A6"/>
  <w15:docId w15:val="{5CB7FFE1-E3CD-45A7-8032-60FBC4D4F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rsid w:val="00BA0FB0"/>
    <w:pPr>
      <w:keepNext/>
      <w:keepLines/>
      <w:spacing w:before="400" w:after="120"/>
      <w:jc w:val="center"/>
      <w:outlineLvl w:val="0"/>
    </w:pPr>
    <w:rPr>
      <w:rFonts w:ascii="Times New Roman" w:hAnsi="Times New Roman"/>
      <w:b/>
      <w:sz w:val="24"/>
      <w:szCs w:val="40"/>
    </w:rPr>
  </w:style>
  <w:style w:type="paragraph" w:styleId="Ttulo2">
    <w:name w:val="heading 2"/>
    <w:basedOn w:val="Normal"/>
    <w:next w:val="Normal"/>
    <w:link w:val="Ttulo2Car"/>
    <w:uiPriority w:val="9"/>
    <w:unhideWhenUsed/>
    <w:qFormat/>
    <w:rsid w:val="00BA0FB0"/>
    <w:pPr>
      <w:keepNext/>
      <w:keepLines/>
      <w:spacing w:before="360" w:after="120"/>
      <w:outlineLvl w:val="1"/>
    </w:pPr>
    <w:rPr>
      <w:rFonts w:ascii="Times New Roman" w:hAnsi="Times New Roman"/>
      <w:b/>
      <w:sz w:val="24"/>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Descripcin">
    <w:name w:val="caption"/>
    <w:basedOn w:val="Normal"/>
    <w:next w:val="Normal"/>
    <w:uiPriority w:val="35"/>
    <w:unhideWhenUsed/>
    <w:qFormat/>
    <w:rsid w:val="00B57C82"/>
    <w:pPr>
      <w:spacing w:after="200" w:line="240" w:lineRule="auto"/>
    </w:pPr>
    <w:rPr>
      <w:i/>
      <w:iCs/>
      <w:color w:val="1F497D" w:themeColor="text2"/>
      <w:sz w:val="18"/>
      <w:szCs w:val="18"/>
    </w:rPr>
  </w:style>
  <w:style w:type="character" w:styleId="Hipervnculo">
    <w:name w:val="Hyperlink"/>
    <w:basedOn w:val="Fuentedeprrafopredeter"/>
    <w:uiPriority w:val="99"/>
    <w:unhideWhenUsed/>
    <w:rsid w:val="00B57C82"/>
    <w:rPr>
      <w:color w:val="0000FF" w:themeColor="hyperlink"/>
      <w:u w:val="single"/>
    </w:rPr>
  </w:style>
  <w:style w:type="character" w:styleId="Mencinsinresolver">
    <w:name w:val="Unresolved Mention"/>
    <w:basedOn w:val="Fuentedeprrafopredeter"/>
    <w:uiPriority w:val="99"/>
    <w:semiHidden/>
    <w:unhideWhenUsed/>
    <w:rsid w:val="006602EF"/>
    <w:rPr>
      <w:color w:val="605E5C"/>
      <w:shd w:val="clear" w:color="auto" w:fill="E1DFDD"/>
    </w:rPr>
  </w:style>
  <w:style w:type="character" w:styleId="Refdecomentario">
    <w:name w:val="annotation reference"/>
    <w:basedOn w:val="Fuentedeprrafopredeter"/>
    <w:uiPriority w:val="99"/>
    <w:semiHidden/>
    <w:unhideWhenUsed/>
    <w:rsid w:val="00B77ECD"/>
    <w:rPr>
      <w:sz w:val="16"/>
      <w:szCs w:val="16"/>
    </w:rPr>
  </w:style>
  <w:style w:type="paragraph" w:styleId="Textocomentario">
    <w:name w:val="annotation text"/>
    <w:basedOn w:val="Normal"/>
    <w:link w:val="TextocomentarioCar"/>
    <w:uiPriority w:val="99"/>
    <w:unhideWhenUsed/>
    <w:rsid w:val="00B77ECD"/>
    <w:pPr>
      <w:spacing w:line="240" w:lineRule="auto"/>
    </w:pPr>
    <w:rPr>
      <w:sz w:val="20"/>
      <w:szCs w:val="20"/>
    </w:rPr>
  </w:style>
  <w:style w:type="character" w:customStyle="1" w:styleId="TextocomentarioCar">
    <w:name w:val="Texto comentario Car"/>
    <w:basedOn w:val="Fuentedeprrafopredeter"/>
    <w:link w:val="Textocomentario"/>
    <w:uiPriority w:val="99"/>
    <w:rsid w:val="00B77ECD"/>
    <w:rPr>
      <w:sz w:val="20"/>
      <w:szCs w:val="20"/>
    </w:rPr>
  </w:style>
  <w:style w:type="paragraph" w:styleId="Asuntodelcomentario">
    <w:name w:val="annotation subject"/>
    <w:basedOn w:val="Textocomentario"/>
    <w:next w:val="Textocomentario"/>
    <w:link w:val="AsuntodelcomentarioCar"/>
    <w:uiPriority w:val="99"/>
    <w:semiHidden/>
    <w:unhideWhenUsed/>
    <w:rsid w:val="00B77ECD"/>
    <w:rPr>
      <w:b/>
      <w:bCs/>
    </w:rPr>
  </w:style>
  <w:style w:type="character" w:customStyle="1" w:styleId="AsuntodelcomentarioCar">
    <w:name w:val="Asunto del comentario Car"/>
    <w:basedOn w:val="TextocomentarioCar"/>
    <w:link w:val="Asuntodelcomentario"/>
    <w:uiPriority w:val="99"/>
    <w:semiHidden/>
    <w:rsid w:val="00B77ECD"/>
    <w:rPr>
      <w:b/>
      <w:bCs/>
      <w:sz w:val="20"/>
      <w:szCs w:val="20"/>
    </w:rPr>
  </w:style>
  <w:style w:type="table" w:customStyle="1" w:styleId="a">
    <w:basedOn w:val="TableNormal0"/>
    <w:tblPr>
      <w:tblStyleRowBandSize w:val="1"/>
      <w:tblStyleColBandSize w:val="1"/>
      <w:tblCellMar>
        <w:top w:w="100" w:type="dxa"/>
        <w:left w:w="100" w:type="dxa"/>
        <w:bottom w:w="100" w:type="dxa"/>
        <w:right w:w="100" w:type="dxa"/>
      </w:tblCellMar>
    </w:tblPr>
  </w:style>
  <w:style w:type="character" w:customStyle="1" w:styleId="Estilo2">
    <w:name w:val="Estilo2"/>
    <w:basedOn w:val="Fuentedeprrafopredeter"/>
    <w:uiPriority w:val="1"/>
    <w:rsid w:val="008C0D94"/>
    <w:rPr>
      <w:rFonts w:ascii="Times New Roman" w:hAnsi="Times New Roman"/>
      <w:sz w:val="24"/>
    </w:rPr>
  </w:style>
  <w:style w:type="character" w:customStyle="1" w:styleId="Estilo3">
    <w:name w:val="Estilo3"/>
    <w:basedOn w:val="Fuentedeprrafopredeter"/>
    <w:uiPriority w:val="1"/>
    <w:rsid w:val="008C0D94"/>
    <w:rPr>
      <w:rFonts w:ascii="Times New Roman" w:hAnsi="Times New Roman"/>
      <w:sz w:val="24"/>
    </w:rPr>
  </w:style>
  <w:style w:type="character" w:customStyle="1" w:styleId="Estilo4">
    <w:name w:val="Estilo4"/>
    <w:basedOn w:val="Fuentedeprrafopredeter"/>
    <w:uiPriority w:val="1"/>
    <w:rsid w:val="008C0D94"/>
    <w:rPr>
      <w:rFonts w:ascii="Times New Roman" w:hAnsi="Times New Roman"/>
      <w:sz w:val="24"/>
    </w:rPr>
  </w:style>
  <w:style w:type="character" w:customStyle="1" w:styleId="Estilo5">
    <w:name w:val="Estilo5"/>
    <w:basedOn w:val="Fuentedeprrafopredeter"/>
    <w:uiPriority w:val="1"/>
    <w:rsid w:val="008C0D94"/>
    <w:rPr>
      <w:rFonts w:ascii="Times New Roman" w:hAnsi="Times New Roman"/>
      <w:sz w:val="24"/>
    </w:rPr>
  </w:style>
  <w:style w:type="character" w:customStyle="1" w:styleId="Estilo7">
    <w:name w:val="Estilo7"/>
    <w:basedOn w:val="Fuentedeprrafopredeter"/>
    <w:uiPriority w:val="1"/>
    <w:rsid w:val="008C0D94"/>
    <w:rPr>
      <w:rFonts w:ascii="Times New Roman" w:hAnsi="Times New Roman"/>
      <w:sz w:val="24"/>
    </w:rPr>
  </w:style>
  <w:style w:type="character" w:customStyle="1" w:styleId="Estilo8">
    <w:name w:val="Estilo8"/>
    <w:basedOn w:val="Fuentedeprrafopredeter"/>
    <w:uiPriority w:val="1"/>
    <w:rsid w:val="008C0D94"/>
    <w:rPr>
      <w:rFonts w:ascii="Times New Roman" w:hAnsi="Times New Roman"/>
      <w:sz w:val="24"/>
    </w:rPr>
  </w:style>
  <w:style w:type="character" w:customStyle="1" w:styleId="Ttulo2Car">
    <w:name w:val="Título 2 Car"/>
    <w:aliases w:val="Nivel 2 APA Car"/>
    <w:basedOn w:val="Fuentedeprrafopredeter"/>
    <w:link w:val="Ttulo2"/>
    <w:uiPriority w:val="9"/>
    <w:rsid w:val="00BA0FB0"/>
    <w:rPr>
      <w:rFonts w:ascii="Times New Roman" w:hAnsi="Times New Roman"/>
      <w:b/>
      <w:sz w:val="24"/>
      <w:szCs w:val="32"/>
    </w:rPr>
  </w:style>
  <w:style w:type="table" w:styleId="Tablaconcuadrcula">
    <w:name w:val="Table Grid"/>
    <w:basedOn w:val="Tablanormal"/>
    <w:uiPriority w:val="39"/>
    <w:rsid w:val="008C0D94"/>
    <w:pPr>
      <w:spacing w:line="240" w:lineRule="auto"/>
    </w:pPr>
    <w:rPr>
      <w:rFonts w:ascii="Times New Roman" w:eastAsiaTheme="minorHAnsi" w:hAnsi="Times New Roman" w:cstheme="minorBidi"/>
      <w:sz w:val="20"/>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10">
    <w:name w:val="Estilo10"/>
    <w:basedOn w:val="Fuentedeprrafopredeter"/>
    <w:uiPriority w:val="1"/>
    <w:rsid w:val="008C0D94"/>
    <w:rPr>
      <w:rFonts w:ascii="Times New Roman" w:hAnsi="Times New Roman"/>
      <w:sz w:val="20"/>
    </w:rPr>
  </w:style>
  <w:style w:type="paragraph" w:customStyle="1" w:styleId="PrrAPA">
    <w:name w:val="Párr.APA"/>
    <w:basedOn w:val="Normal"/>
    <w:link w:val="PrrAPACar"/>
    <w:qFormat/>
    <w:rsid w:val="008C0D94"/>
    <w:pPr>
      <w:spacing w:line="360" w:lineRule="auto"/>
      <w:ind w:firstLine="709"/>
      <w:jc w:val="both"/>
    </w:pPr>
    <w:rPr>
      <w:rFonts w:ascii="Times New Roman" w:eastAsiaTheme="minorHAnsi" w:hAnsi="Times New Roman" w:cs="Times New Roman"/>
      <w:sz w:val="24"/>
      <w:szCs w:val="24"/>
      <w:lang w:val="es-CO" w:eastAsia="en-US"/>
    </w:rPr>
  </w:style>
  <w:style w:type="character" w:customStyle="1" w:styleId="PrrAPACar">
    <w:name w:val="Párr.APA Car"/>
    <w:basedOn w:val="Fuentedeprrafopredeter"/>
    <w:link w:val="PrrAPA"/>
    <w:rsid w:val="008C0D94"/>
    <w:rPr>
      <w:rFonts w:ascii="Times New Roman" w:eastAsiaTheme="minorHAnsi" w:hAnsi="Times New Roman" w:cs="Times New Roman"/>
      <w:sz w:val="24"/>
      <w:szCs w:val="24"/>
      <w:lang w:val="es-CO" w:eastAsia="en-US"/>
    </w:rPr>
  </w:style>
  <w:style w:type="paragraph" w:styleId="Encabezado">
    <w:name w:val="header"/>
    <w:basedOn w:val="Normal"/>
    <w:link w:val="EncabezadoCar"/>
    <w:uiPriority w:val="99"/>
    <w:unhideWhenUsed/>
    <w:rsid w:val="008C0D94"/>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8C0D94"/>
  </w:style>
  <w:style w:type="paragraph" w:styleId="Piedepgina">
    <w:name w:val="footer"/>
    <w:basedOn w:val="Normal"/>
    <w:link w:val="PiedepginaCar"/>
    <w:uiPriority w:val="99"/>
    <w:unhideWhenUsed/>
    <w:rsid w:val="008C0D94"/>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8C0D94"/>
  </w:style>
  <w:style w:type="paragraph" w:styleId="Prrafodelista">
    <w:name w:val="List Paragraph"/>
    <w:basedOn w:val="Normal"/>
    <w:uiPriority w:val="34"/>
    <w:qFormat/>
    <w:rsid w:val="00BA0FB0"/>
    <w:pPr>
      <w:ind w:left="720"/>
      <w:contextualSpacing/>
    </w:pPr>
  </w:style>
  <w:style w:type="paragraph" w:styleId="TtuloTDC">
    <w:name w:val="TOC Heading"/>
    <w:basedOn w:val="Ttulo1"/>
    <w:next w:val="Normal"/>
    <w:uiPriority w:val="39"/>
    <w:unhideWhenUsed/>
    <w:qFormat/>
    <w:rsid w:val="001A582D"/>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val="es-CO"/>
    </w:rPr>
  </w:style>
  <w:style w:type="paragraph" w:styleId="TDC1">
    <w:name w:val="toc 1"/>
    <w:basedOn w:val="Normal"/>
    <w:next w:val="Normal"/>
    <w:autoRedefine/>
    <w:uiPriority w:val="39"/>
    <w:unhideWhenUsed/>
    <w:rsid w:val="001A582D"/>
    <w:pPr>
      <w:spacing w:after="100"/>
    </w:pPr>
  </w:style>
  <w:style w:type="paragraph" w:styleId="TDC2">
    <w:name w:val="toc 2"/>
    <w:basedOn w:val="Normal"/>
    <w:next w:val="Normal"/>
    <w:autoRedefine/>
    <w:uiPriority w:val="39"/>
    <w:unhideWhenUsed/>
    <w:rsid w:val="001A582D"/>
    <w:pPr>
      <w:spacing w:after="100"/>
      <w:ind w:left="220"/>
    </w:pPr>
  </w:style>
  <w:style w:type="paragraph" w:styleId="Tabladeilustraciones">
    <w:name w:val="table of figures"/>
    <w:basedOn w:val="Normal"/>
    <w:next w:val="Normal"/>
    <w:uiPriority w:val="99"/>
    <w:unhideWhenUsed/>
    <w:rsid w:val="001A58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s://www.larepublica.co/especiales/opa-por-nutresa/gabriel-gilinski-entro-oficialmente-a-conformar-junta-directiva-de-nutresa-tras-votacion-3327454" TargetMode="External"/><Relationship Id="rId39" Type="http://schemas.openxmlformats.org/officeDocument/2006/relationships/hyperlink" Target="https://www.larepublica.co/finanzas/reunion-entre-el-gobierno-el-gea-y-gilinski-3779709" TargetMode="External"/><Relationship Id="rId21" Type="http://schemas.openxmlformats.org/officeDocument/2006/relationships/image" Target="media/image9.png"/><Relationship Id="rId34" Type="http://schemas.openxmlformats.org/officeDocument/2006/relationships/hyperlink" Target="https://gruponutresa.com/etica-y-gobierno-corporativo/junta-directiva/" TargetMode="External"/><Relationship Id="rId42" Type="http://schemas.openxmlformats.org/officeDocument/2006/relationships/hyperlink" Target="https://forbes.co/2021/09/07/red-forbes/el-gea-y-la-cohesion-de-las-elites-paisas" TargetMode="External"/><Relationship Id="rId47" Type="http://schemas.openxmlformats.org/officeDocument/2006/relationships/hyperlink" Target="https://redmas.com.co/economia/El-jeque-socio-de-Gilinski-y-accionista-de-Nutresa-esta-salpicado-en-los-Pandora-Papers-20230525-0033.html" TargetMode="External"/><Relationship Id="rId50" Type="http://schemas.openxmlformats.org/officeDocument/2006/relationships/hyperlink" Target="https://repository.udem.edu.co/bitstream/handle/11407/4632/TG_EDE_4.pdf?s" TargetMode="External"/><Relationship Id="rId55" Type="http://schemas.openxmlformats.org/officeDocument/2006/relationships/hyperlink" Target="https://elpais.com/america-colombia/2023-05-24/los-gilinski-y-sus-aliados-arabes-pactan-con-el-gea-quedarse-con-nutresa-y-renunciar-a-los-demas-negocios.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larepublica.co/especiales/opa-por-nutresa/nueva-opa-es-94-6-43-1-y-23-5-mas-alta-que-las-tres-primeras-ofertas-de-gilinski-3452401" TargetMode="External"/><Relationship Id="rId29" Type="http://schemas.openxmlformats.org/officeDocument/2006/relationships/hyperlink" Target="https://www.larepublica.co/finanzas/companias-del-grupo-empresarial-antioqueno-representan-casi-7-del-pib-nacional-347008" TargetMode="External"/><Relationship Id="rId11" Type="http://schemas.openxmlformats.org/officeDocument/2006/relationships/image" Target="media/image2.jpeg"/><Relationship Id="rId24" Type="http://schemas.openxmlformats.org/officeDocument/2006/relationships/hyperlink" Target="https://www.larepublica.co/finanzas/nutresa-queda-con-un-activo-de-7-billones-y-6-billones-de-patrimonio-tras-escision-3768481" TargetMode="External"/><Relationship Id="rId32" Type="http://schemas.openxmlformats.org/officeDocument/2006/relationships/hyperlink" Target="http://www.scielo.org.mx/scielo.php?script=sci_arttext&amp;pid=S0188-33802012000100002&amp;lng=es&amp;tlng=es" TargetMode="External"/><Relationship Id="rId37" Type="http://schemas.openxmlformats.org/officeDocument/2006/relationships/hyperlink" Target="https://www.infobae.com/america/colombia/2022/11/18/opa-por-nutresa-quedo-desierta-anuncio-bolsa-de-valores-de-colombia/" TargetMode="External"/><Relationship Id="rId40" Type="http://schemas.openxmlformats.org/officeDocument/2006/relationships/hyperlink" Target="https://www.valoraanalitik.com/acuerdo-gea-gilinski-como-quedo-que-pasara-con-sura-nutresa/" TargetMode="External"/><Relationship Id="rId45" Type="http://schemas.openxmlformats.org/officeDocument/2006/relationships/hyperlink" Target="https://www.larepublica.co/especiales/opa-por-nutresa/nueva-opa-es-94-6-43-1-y-23-5-mas-alta-que-las-tres-primeras-ofertas-de-gilinski-3452401" TargetMode="External"/><Relationship Id="rId53" Type="http://schemas.openxmlformats.org/officeDocument/2006/relationships/hyperlink" Target="https://www.larepublica.co/finanzas/con-decreto-el-gea-y-el-grupo-gilinski-seguiran-adelante-con-el-acuerdo-de-madrid-3791724" TargetMode="External"/><Relationship Id="rId58" Type="http://schemas.openxmlformats.org/officeDocument/2006/relationships/hyperlink" Target="https://www.elcolombiano.com/negocios/quienes-son-los-gilinski-empresarios-que-quieren-comprar-sura-y-nutresa-GG16108178" TargetMode="External"/><Relationship Id="rId5" Type="http://schemas.openxmlformats.org/officeDocument/2006/relationships/settings" Target="settings.xml"/><Relationship Id="rId61" Type="http://schemas.openxmlformats.org/officeDocument/2006/relationships/glossaryDocument" Target="glossary/document.xml"/><Relationship Id="rId19" Type="http://schemas.openxmlformats.org/officeDocument/2006/relationships/image" Target="media/image7.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http://www.scielo.org.mx/scielo.php?script=sci_arttext&amp;pid=S2448-718X2011000100193&amp;lng=es&amp;tlng=es" TargetMode="External"/><Relationship Id="rId30" Type="http://schemas.openxmlformats.org/officeDocument/2006/relationships/hyperlink" Target="https://handbook.fiabnet.org/bolsa-de-valores-de-colombia/" TargetMode="External"/><Relationship Id="rId35" Type="http://schemas.openxmlformats.org/officeDocument/2006/relationships/hyperlink" Target="https://data.gruponutresa.com/informes/Informe_integrado_2021-Grupo_Nutresa.pdf" TargetMode="External"/><Relationship Id="rId43" Type="http://schemas.openxmlformats.org/officeDocument/2006/relationships/hyperlink" Target="https://www.wradio.com.co/2024/04/04/gilinski-logra-el-control-del-993-de-nutresa-tras-cierre-de-la-opa/" TargetMode="External"/><Relationship Id="rId48" Type="http://schemas.openxmlformats.org/officeDocument/2006/relationships/hyperlink" Target="https://www.portafolio.co/negocios/gea-y-gilinski-cierran-diferencias-en-madrid-583390" TargetMode="External"/><Relationship Id="rId56" Type="http://schemas.openxmlformats.org/officeDocument/2006/relationships/hyperlink" Target="https://www.semana.com/economia/articulo/accionistas-minoritarios-y-pensionados-demandarian-a-directivos-y-companias-del-gea/202229/" TargetMode="External"/><Relationship Id="rId8" Type="http://schemas.openxmlformats.org/officeDocument/2006/relationships/endnotes" Target="endnotes.xml"/><Relationship Id="rId51" Type="http://schemas.openxmlformats.org/officeDocument/2006/relationships/hyperlink" Target="https://www.larepublica.co/finanzas/luego-de-800-dias-desde-su-primera-opa-grupo-gilinski-tendra-el-control-de-nutresa-3795055"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www.funcionpublica.gov.co/eva/gestornormativo/norma.php?i=228970" TargetMode="External"/><Relationship Id="rId25" Type="http://schemas.openxmlformats.org/officeDocument/2006/relationships/hyperlink" Target="https://www.valoraanalitik.com/gilinski-se-queda-con-994-de-grupo-nutresa-tras-cierre-de-ultima-opa/" TargetMode="External"/><Relationship Id="rId33" Type="http://schemas.openxmlformats.org/officeDocument/2006/relationships/hyperlink" Target="https://hdl.handle.net/1992/74010" TargetMode="External"/><Relationship Id="rId38" Type="http://schemas.openxmlformats.org/officeDocument/2006/relationships/hyperlink" Target="https://www.larepublica.co/especiales/opa-por-nutresa/las-opa-mas-grandes-que-se-han-desarrollado-en-colombia-en-lo-corrido-del-siglo-xxi-3453230" TargetMode="External"/><Relationship Id="rId46" Type="http://schemas.openxmlformats.org/officeDocument/2006/relationships/hyperlink" Target="https://www.noticiasrcn.com/internacional/quien-es-el-millonario-arabe-que-quiere-comprar-nutresa-429805" TargetMode="External"/><Relationship Id="rId59"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hyperlink" Target="https://www.larepublica.co/empresas/gilinski-ejerce-opcion-de-compra-a-minoritarios-de-semana-y-se-queda-con-100-del-grupo-3087653" TargetMode="External"/><Relationship Id="rId54" Type="http://schemas.openxmlformats.org/officeDocument/2006/relationships/hyperlink" Target="https://ciencia.lasalle.edu.co/economia/172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hyperlink" Target="https://www.bibliotecadigitaldebogota.gov.co/resources/3608253/" TargetMode="External"/><Relationship Id="rId36" Type="http://schemas.openxmlformats.org/officeDocument/2006/relationships/hyperlink" Target="https://data.gruponutresa.com/informes/Informe_integrado_2022-Grupo_Nutresa.pdf" TargetMode="External"/><Relationship Id="rId49" Type="http://schemas.openxmlformats.org/officeDocument/2006/relationships/hyperlink" Target="http://revista.uaca.ac.cr/index.php/actas/article/view/578/602" TargetMode="External"/><Relationship Id="rId57" Type="http://schemas.openxmlformats.org/officeDocument/2006/relationships/hyperlink" Target="https://www.eia.edu.co/wp-content/uploads/2023/10/Tercera-OPAs-Nutresa-Sura.pdf" TargetMode="External"/><Relationship Id="rId10" Type="http://schemas.openxmlformats.org/officeDocument/2006/relationships/hyperlink" Target="https://co.creativecommons.net/tipos-de-licencias/" TargetMode="External"/><Relationship Id="rId31" Type="http://schemas.openxmlformats.org/officeDocument/2006/relationships/hyperlink" Target="https://colombia.as.com/colombia/2021/12/04/actualidad/1638653393_041404.html_" TargetMode="External"/><Relationship Id="rId44" Type="http://schemas.openxmlformats.org/officeDocument/2006/relationships/hyperlink" Target="https://colombia.as.com/actualidad/reunion-entre-petro-con-el-gea-y-los-gilinski-como-fue-y-que-han-acordado-n/" TargetMode="External"/><Relationship Id="rId52" Type="http://schemas.openxmlformats.org/officeDocument/2006/relationships/hyperlink" Target="https://www.larepublica.co/empresas/el-grupo-gilinski-cedera-el-control-del-grupo-nutresa-a-sus-socios-arabes-3912817" TargetMode="External"/><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467C074232E4D1688143B9FE55EAE0F"/>
        <w:category>
          <w:name w:val="General"/>
          <w:gallery w:val="placeholder"/>
        </w:category>
        <w:types>
          <w:type w:val="bbPlcHdr"/>
        </w:types>
        <w:behaviors>
          <w:behavior w:val="content"/>
        </w:behaviors>
        <w:guid w:val="{89ED07B6-32CD-4DD7-8FB1-4E13ED0233E4}"/>
      </w:docPartPr>
      <w:docPartBody>
        <w:p w:rsidR="00000000" w:rsidRDefault="006B6321" w:rsidP="006B6321">
          <w:pPr>
            <w:pStyle w:val="1467C074232E4D1688143B9FE55EAE0F"/>
          </w:pPr>
          <w:r w:rsidRPr="007A2281">
            <w:rPr>
              <w:rStyle w:val="Textodelmarcadordeposicin"/>
            </w:rPr>
            <w:t>Elija un elemento.</w:t>
          </w:r>
        </w:p>
      </w:docPartBody>
    </w:docPart>
    <w:docPart>
      <w:docPartPr>
        <w:name w:val="A31C34D91C6B4C86B74CDAE832D92714"/>
        <w:category>
          <w:name w:val="General"/>
          <w:gallery w:val="placeholder"/>
        </w:category>
        <w:types>
          <w:type w:val="bbPlcHdr"/>
        </w:types>
        <w:behaviors>
          <w:behavior w:val="content"/>
        </w:behaviors>
        <w:guid w:val="{47ADB89C-C264-4133-9506-05D372204A5A}"/>
      </w:docPartPr>
      <w:docPartBody>
        <w:p w:rsidR="00000000" w:rsidRDefault="006B6321" w:rsidP="006B6321">
          <w:pPr>
            <w:pStyle w:val="A31C34D91C6B4C86B74CDAE832D92714"/>
          </w:pPr>
          <w:r w:rsidRPr="007A2281">
            <w:rPr>
              <w:rStyle w:val="Textodelmarcadordeposicin"/>
            </w:rPr>
            <w:t>Elija un elemento.</w:t>
          </w:r>
        </w:p>
      </w:docPartBody>
    </w:docPart>
    <w:docPart>
      <w:docPartPr>
        <w:name w:val="7F11A57EFF804EE9A5A1D9FD0F95A070"/>
        <w:category>
          <w:name w:val="General"/>
          <w:gallery w:val="placeholder"/>
        </w:category>
        <w:types>
          <w:type w:val="bbPlcHdr"/>
        </w:types>
        <w:behaviors>
          <w:behavior w:val="content"/>
        </w:behaviors>
        <w:guid w:val="{EABEB443-36B9-4A87-93B9-4F5E659456FF}"/>
      </w:docPartPr>
      <w:docPartBody>
        <w:p w:rsidR="00000000" w:rsidRDefault="006B6321" w:rsidP="006B6321">
          <w:pPr>
            <w:pStyle w:val="7F11A57EFF804EE9A5A1D9FD0F95A070"/>
          </w:pPr>
          <w:r w:rsidRPr="007A2281">
            <w:rPr>
              <w:rStyle w:val="Textodelmarcadordeposicin"/>
            </w:rPr>
            <w:t>Elija un elemento.</w:t>
          </w:r>
        </w:p>
      </w:docPartBody>
    </w:docPart>
    <w:docPart>
      <w:docPartPr>
        <w:name w:val="B060DD72F7EA44128B3070FFEA5F4738"/>
        <w:category>
          <w:name w:val="General"/>
          <w:gallery w:val="placeholder"/>
        </w:category>
        <w:types>
          <w:type w:val="bbPlcHdr"/>
        </w:types>
        <w:behaviors>
          <w:behavior w:val="content"/>
        </w:behaviors>
        <w:guid w:val="{41DCB09B-132C-4CF7-9085-DD6017434563}"/>
      </w:docPartPr>
      <w:docPartBody>
        <w:p w:rsidR="00000000" w:rsidRDefault="006B6321" w:rsidP="006B6321">
          <w:pPr>
            <w:pStyle w:val="B060DD72F7EA44128B3070FFEA5F4738"/>
          </w:pPr>
          <w:r w:rsidRPr="005F0241">
            <w:rPr>
              <w:rStyle w:val="Textodelmarcadordeposicin"/>
            </w:rPr>
            <w:t>Elija un elemento.</w:t>
          </w:r>
        </w:p>
      </w:docPartBody>
    </w:docPart>
    <w:docPart>
      <w:docPartPr>
        <w:name w:val="6D7CF751021A48F787ED0528B7432CD4"/>
        <w:category>
          <w:name w:val="General"/>
          <w:gallery w:val="placeholder"/>
        </w:category>
        <w:types>
          <w:type w:val="bbPlcHdr"/>
        </w:types>
        <w:behaviors>
          <w:behavior w:val="content"/>
        </w:behaviors>
        <w:guid w:val="{8E07F9A0-9340-43AD-A94E-D2CB2D663C62}"/>
      </w:docPartPr>
      <w:docPartBody>
        <w:p w:rsidR="00000000" w:rsidRDefault="006B6321" w:rsidP="006B6321">
          <w:pPr>
            <w:pStyle w:val="6D7CF751021A48F787ED0528B7432CD4"/>
          </w:pPr>
          <w:r w:rsidRPr="007A2281">
            <w:rPr>
              <w:rStyle w:val="Textodelmarcadordeposicin"/>
            </w:rPr>
            <w:t>Elija un elemento.</w:t>
          </w:r>
        </w:p>
      </w:docPartBody>
    </w:docPart>
    <w:docPart>
      <w:docPartPr>
        <w:name w:val="DA03F4588FEB43568A23FC9E36B681FA"/>
        <w:category>
          <w:name w:val="General"/>
          <w:gallery w:val="placeholder"/>
        </w:category>
        <w:types>
          <w:type w:val="bbPlcHdr"/>
        </w:types>
        <w:behaviors>
          <w:behavior w:val="content"/>
        </w:behaviors>
        <w:guid w:val="{F91153FA-CC55-4D72-9F25-C33E22652EF1}"/>
      </w:docPartPr>
      <w:docPartBody>
        <w:p w:rsidR="00000000" w:rsidRDefault="006B6321" w:rsidP="006B6321">
          <w:pPr>
            <w:pStyle w:val="DA03F4588FEB43568A23FC9E36B681FA"/>
          </w:pPr>
          <w:r w:rsidRPr="007A2281">
            <w:rPr>
              <w:rStyle w:val="Textodelmarcadordeposicin"/>
            </w:rPr>
            <w:t>Elija un elemento.</w:t>
          </w:r>
        </w:p>
      </w:docPartBody>
    </w:docPart>
    <w:docPart>
      <w:docPartPr>
        <w:name w:val="F133D8F1D9504B1A89FFB1F89D4AC0C1"/>
        <w:category>
          <w:name w:val="General"/>
          <w:gallery w:val="placeholder"/>
        </w:category>
        <w:types>
          <w:type w:val="bbPlcHdr"/>
        </w:types>
        <w:behaviors>
          <w:behavior w:val="content"/>
        </w:behaviors>
        <w:guid w:val="{E67F92D6-2D05-4944-AE96-9E21760BECEA}"/>
      </w:docPartPr>
      <w:docPartBody>
        <w:p w:rsidR="00000000" w:rsidRDefault="006B6321" w:rsidP="006B6321">
          <w:pPr>
            <w:pStyle w:val="F133D8F1D9504B1A89FFB1F89D4AC0C1"/>
          </w:pPr>
          <w:r w:rsidRPr="007A2281">
            <w:rPr>
              <w:rStyle w:val="Textodelmarcadordeposicin"/>
            </w:rPr>
            <w:t>Elija un elemento.</w:t>
          </w:r>
        </w:p>
      </w:docPartBody>
    </w:docPart>
    <w:docPart>
      <w:docPartPr>
        <w:name w:val="16226A1A2E1443DAAE4D5DBA56D868C5"/>
        <w:category>
          <w:name w:val="General"/>
          <w:gallery w:val="placeholder"/>
        </w:category>
        <w:types>
          <w:type w:val="bbPlcHdr"/>
        </w:types>
        <w:behaviors>
          <w:behavior w:val="content"/>
        </w:behaviors>
        <w:guid w:val="{8DBE390D-1331-4CC1-B97A-37581268A4F7}"/>
      </w:docPartPr>
      <w:docPartBody>
        <w:p w:rsidR="00000000" w:rsidRDefault="006B6321" w:rsidP="006B6321">
          <w:pPr>
            <w:pStyle w:val="16226A1A2E1443DAAE4D5DBA56D868C5"/>
          </w:pPr>
          <w:r w:rsidRPr="007A2281">
            <w:rPr>
              <w:rStyle w:val="Textodelmarcadordeposicin"/>
            </w:rPr>
            <w:t>Elija un elemento.</w:t>
          </w:r>
        </w:p>
      </w:docPartBody>
    </w:docPart>
    <w:docPart>
      <w:docPartPr>
        <w:name w:val="BC53755FFC12408CBA46418304512CF2"/>
        <w:category>
          <w:name w:val="General"/>
          <w:gallery w:val="placeholder"/>
        </w:category>
        <w:types>
          <w:type w:val="bbPlcHdr"/>
        </w:types>
        <w:behaviors>
          <w:behavior w:val="content"/>
        </w:behaviors>
        <w:guid w:val="{597D9659-AA14-43F6-AB6A-41F23542ADCA}"/>
      </w:docPartPr>
      <w:docPartBody>
        <w:p w:rsidR="00000000" w:rsidRDefault="006B6321" w:rsidP="006B6321">
          <w:pPr>
            <w:pStyle w:val="BC53755FFC12408CBA46418304512CF2"/>
          </w:pPr>
          <w:r w:rsidRPr="00171C88">
            <w:rPr>
              <w:rStyle w:val="Textodelmarcadordeposicin"/>
            </w:rPr>
            <w:t>Elija un elemento.</w:t>
          </w:r>
        </w:p>
      </w:docPartBody>
    </w:docPart>
    <w:docPart>
      <w:docPartPr>
        <w:name w:val="DC21CA825F3442A8B897B61405AED68C"/>
        <w:category>
          <w:name w:val="General"/>
          <w:gallery w:val="placeholder"/>
        </w:category>
        <w:types>
          <w:type w:val="bbPlcHdr"/>
        </w:types>
        <w:behaviors>
          <w:behavior w:val="content"/>
        </w:behaviors>
        <w:guid w:val="{6A379762-51F4-473C-9938-958B5C4CBE99}"/>
      </w:docPartPr>
      <w:docPartBody>
        <w:p w:rsidR="00000000" w:rsidRDefault="006B6321" w:rsidP="006B6321">
          <w:pPr>
            <w:pStyle w:val="DC21CA825F3442A8B897B61405AED68C"/>
          </w:pPr>
          <w:r w:rsidRPr="007A2281">
            <w:rPr>
              <w:rStyle w:val="Textodelmarcadordeposicin"/>
            </w:rPr>
            <w:t>Elija un elemento.</w:t>
          </w:r>
        </w:p>
      </w:docPartBody>
    </w:docPart>
    <w:docPart>
      <w:docPartPr>
        <w:name w:val="B860C9998E294657948A749B94B1BBCB"/>
        <w:category>
          <w:name w:val="General"/>
          <w:gallery w:val="placeholder"/>
        </w:category>
        <w:types>
          <w:type w:val="bbPlcHdr"/>
        </w:types>
        <w:behaviors>
          <w:behavior w:val="content"/>
        </w:behaviors>
        <w:guid w:val="{36842C37-8179-44A7-AC9F-4E3256DD2C89}"/>
      </w:docPartPr>
      <w:docPartBody>
        <w:p w:rsidR="00000000" w:rsidRDefault="006B6321" w:rsidP="006B6321">
          <w:pPr>
            <w:pStyle w:val="B860C9998E294657948A749B94B1BBCB"/>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321"/>
    <w:rsid w:val="004A01DB"/>
    <w:rsid w:val="006B6321"/>
    <w:rsid w:val="008F431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B6321"/>
    <w:rPr>
      <w:color w:val="808080"/>
    </w:rPr>
  </w:style>
  <w:style w:type="paragraph" w:customStyle="1" w:styleId="1467C074232E4D1688143B9FE55EAE0F">
    <w:name w:val="1467C074232E4D1688143B9FE55EAE0F"/>
    <w:rsid w:val="006B6321"/>
  </w:style>
  <w:style w:type="paragraph" w:customStyle="1" w:styleId="A31C34D91C6B4C86B74CDAE832D92714">
    <w:name w:val="A31C34D91C6B4C86B74CDAE832D92714"/>
    <w:rsid w:val="006B6321"/>
  </w:style>
  <w:style w:type="paragraph" w:customStyle="1" w:styleId="7F11A57EFF804EE9A5A1D9FD0F95A070">
    <w:name w:val="7F11A57EFF804EE9A5A1D9FD0F95A070"/>
    <w:rsid w:val="006B6321"/>
  </w:style>
  <w:style w:type="paragraph" w:customStyle="1" w:styleId="B060DD72F7EA44128B3070FFEA5F4738">
    <w:name w:val="B060DD72F7EA44128B3070FFEA5F4738"/>
    <w:rsid w:val="006B6321"/>
  </w:style>
  <w:style w:type="paragraph" w:customStyle="1" w:styleId="6D7CF751021A48F787ED0528B7432CD4">
    <w:name w:val="6D7CF751021A48F787ED0528B7432CD4"/>
    <w:rsid w:val="006B6321"/>
  </w:style>
  <w:style w:type="paragraph" w:customStyle="1" w:styleId="DA03F4588FEB43568A23FC9E36B681FA">
    <w:name w:val="DA03F4588FEB43568A23FC9E36B681FA"/>
    <w:rsid w:val="006B6321"/>
  </w:style>
  <w:style w:type="paragraph" w:customStyle="1" w:styleId="F133D8F1D9504B1A89FFB1F89D4AC0C1">
    <w:name w:val="F133D8F1D9504B1A89FFB1F89D4AC0C1"/>
    <w:rsid w:val="006B6321"/>
  </w:style>
  <w:style w:type="paragraph" w:customStyle="1" w:styleId="16226A1A2E1443DAAE4D5DBA56D868C5">
    <w:name w:val="16226A1A2E1443DAAE4D5DBA56D868C5"/>
    <w:rsid w:val="006B6321"/>
  </w:style>
  <w:style w:type="paragraph" w:customStyle="1" w:styleId="BC53755FFC12408CBA46418304512CF2">
    <w:name w:val="BC53755FFC12408CBA46418304512CF2"/>
    <w:rsid w:val="006B6321"/>
  </w:style>
  <w:style w:type="paragraph" w:customStyle="1" w:styleId="DC21CA825F3442A8B897B61405AED68C">
    <w:name w:val="DC21CA825F3442A8B897B61405AED68C"/>
    <w:rsid w:val="006B6321"/>
  </w:style>
  <w:style w:type="paragraph" w:customStyle="1" w:styleId="357C3294EFE743F69BC3F0444B41D6C0">
    <w:name w:val="357C3294EFE743F69BC3F0444B41D6C0"/>
    <w:rsid w:val="006B6321"/>
  </w:style>
  <w:style w:type="paragraph" w:customStyle="1" w:styleId="91CA7B2224964B87B0BB67630F8618E2">
    <w:name w:val="91CA7B2224964B87B0BB67630F8618E2"/>
    <w:rsid w:val="006B6321"/>
  </w:style>
  <w:style w:type="paragraph" w:customStyle="1" w:styleId="E01232F9F1084060AB03B86953F59F9A">
    <w:name w:val="E01232F9F1084060AB03B86953F59F9A"/>
    <w:rsid w:val="006B6321"/>
  </w:style>
  <w:style w:type="paragraph" w:customStyle="1" w:styleId="1DA2683741494E76B134D9ADF1106129">
    <w:name w:val="1DA2683741494E76B134D9ADF1106129"/>
    <w:rsid w:val="006B6321"/>
  </w:style>
  <w:style w:type="paragraph" w:customStyle="1" w:styleId="B860C9998E294657948A749B94B1BBCB">
    <w:name w:val="B860C9998E294657948A749B94B1BBCB"/>
    <w:rsid w:val="006B6321"/>
  </w:style>
  <w:style w:type="paragraph" w:customStyle="1" w:styleId="DAA6B4D330AE4BC2909775D353D82EDC">
    <w:name w:val="DAA6B4D330AE4BC2909775D353D82EDC"/>
    <w:rsid w:val="006B63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uajvDi6D5cWUqIpOxP4UdbhAMw==">CgMxLjAaHwoBMBIaChgICVIUChJ0YWJsZS4xbGh0OWRiNjN0aGM4AHIhMUdHeDNfd2Z3WE10OGtxUTF1ZTJ2VDdBMk03OEFWcF9s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3AC79E-886C-480C-8622-B2CD64507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39</Pages>
  <Words>12014</Words>
  <Characters>66079</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Jaime Guevara</dc:creator>
  <cp:lastModifiedBy>Alejandra Villa Torres</cp:lastModifiedBy>
  <cp:revision>3</cp:revision>
  <dcterms:created xsi:type="dcterms:W3CDTF">2024-11-06T11:25:00Z</dcterms:created>
  <dcterms:modified xsi:type="dcterms:W3CDTF">2025-02-04T17:44:00Z</dcterms:modified>
</cp:coreProperties>
</file>